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BE" w:rsidRPr="00F54ABE" w:rsidRDefault="00F54ABE" w:rsidP="00F54ABE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Tw Cen MT" w:hAnsi="Tw Cen MT" w:cs="Arial"/>
          <w:b/>
        </w:rPr>
      </w:pPr>
      <w:proofErr w:type="spellStart"/>
      <w:r w:rsidRPr="00F54ABE">
        <w:rPr>
          <w:rFonts w:ascii="Tw Cen MT" w:hAnsi="Tw Cen MT" w:cs="Arial"/>
          <w:b/>
        </w:rPr>
        <w:t>Fondimpresa</w:t>
      </w:r>
      <w:proofErr w:type="spellEnd"/>
      <w:r w:rsidRPr="00F54ABE">
        <w:rPr>
          <w:rFonts w:ascii="Tw Cen MT" w:hAnsi="Tw Cen MT" w:cs="Arial"/>
          <w:b/>
        </w:rPr>
        <w:t>: Avviso 1/20</w:t>
      </w:r>
      <w:r w:rsidR="00B234E6">
        <w:rPr>
          <w:rFonts w:ascii="Tw Cen MT" w:hAnsi="Tw Cen MT" w:cs="Arial"/>
          <w:b/>
        </w:rPr>
        <w:t>21</w:t>
      </w:r>
      <w:r w:rsidRPr="00F54ABE">
        <w:rPr>
          <w:rFonts w:ascii="Tw Cen MT" w:hAnsi="Tw Cen MT" w:cs="Arial"/>
          <w:b/>
        </w:rPr>
        <w:t xml:space="preserve"> Innovazione</w:t>
      </w:r>
    </w:p>
    <w:p w:rsidR="00F54ABE" w:rsidRDefault="00F54ABE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  <w:b/>
        </w:rPr>
      </w:pPr>
    </w:p>
    <w:p w:rsidR="00C128B2" w:rsidRDefault="00C128B2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  <w:b/>
        </w:rPr>
      </w:pPr>
    </w:p>
    <w:p w:rsidR="001F0B87" w:rsidRPr="001F0B87" w:rsidRDefault="001F0B87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  <w:b/>
        </w:rPr>
      </w:pPr>
      <w:r w:rsidRPr="001F0B87">
        <w:rPr>
          <w:rFonts w:ascii="Tw Cen MT" w:hAnsi="Tw Cen MT" w:cs="Arial"/>
          <w:b/>
        </w:rPr>
        <w:t>FRAMEWORK DEL PROGETTO</w:t>
      </w:r>
      <w:r w:rsidR="0039410C">
        <w:rPr>
          <w:rFonts w:ascii="Tw Cen MT" w:hAnsi="Tw Cen MT" w:cs="Arial"/>
          <w:b/>
        </w:rPr>
        <w:t xml:space="preserve"> 2</w:t>
      </w:r>
      <w:r w:rsidR="00E73BD1">
        <w:rPr>
          <w:rFonts w:ascii="Tw Cen MT" w:hAnsi="Tw Cen MT" w:cs="Arial"/>
          <w:b/>
        </w:rPr>
        <w:t xml:space="preserve"> _ </w:t>
      </w:r>
      <w:r w:rsidR="00C07AD9">
        <w:rPr>
          <w:rFonts w:ascii="Tw Cen MT" w:hAnsi="Tw Cen MT" w:cs="Arial"/>
          <w:b/>
          <w:color w:val="C00000"/>
        </w:rPr>
        <w:t>EFFICIENTAMENTO ENERGETICO IN OTTICA INDUSTRY 4.0</w:t>
      </w:r>
    </w:p>
    <w:p w:rsidR="001F0B87" w:rsidRDefault="001F0B87" w:rsidP="001F0B8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w Cen MT" w:hAnsi="Tw Cen MT" w:cs="Arial"/>
        </w:rPr>
      </w:pPr>
    </w:p>
    <w:p w:rsidR="00F37CF9" w:rsidRPr="00773297" w:rsidRDefault="00F37CF9" w:rsidP="00F37CF9">
      <w:pPr>
        <w:pStyle w:val="NormaleWeb"/>
        <w:shd w:val="clear" w:color="auto" w:fill="FFFFFF"/>
        <w:spacing w:before="0" w:beforeAutospacing="0" w:afterLines="120" w:after="288" w:afterAutospacing="0"/>
        <w:jc w:val="both"/>
        <w:textAlignment w:val="baseline"/>
        <w:rPr>
          <w:rFonts w:ascii="Tw Cen MT" w:hAnsi="Tw Cen MT" w:cs="Arial"/>
        </w:rPr>
      </w:pPr>
      <w:r w:rsidRPr="00773297">
        <w:rPr>
          <w:rFonts w:ascii="Tw Cen MT" w:hAnsi="Tw Cen MT" w:cs="Arial"/>
        </w:rPr>
        <w:t xml:space="preserve">Grazie allo </w:t>
      </w:r>
      <w:r w:rsidRPr="00D07A5A">
        <w:rPr>
          <w:rFonts w:ascii="Tw Cen MT" w:hAnsi="Tw Cen MT" w:cs="Arial"/>
          <w:b/>
        </w:rPr>
        <w:t>sviluppo di soluzioni digitali</w:t>
      </w:r>
      <w:r w:rsidRPr="00773297">
        <w:rPr>
          <w:rFonts w:ascii="Tw Cen MT" w:hAnsi="Tw Cen MT" w:cs="Arial"/>
        </w:rPr>
        <w:t xml:space="preserve"> sempre più avanzate</w:t>
      </w:r>
      <w:r w:rsidR="00242DCB">
        <w:rPr>
          <w:rFonts w:ascii="Tw Cen MT" w:hAnsi="Tw Cen MT" w:cs="Arial"/>
        </w:rPr>
        <w:t>,</w:t>
      </w:r>
      <w:r w:rsidRPr="00773297">
        <w:rPr>
          <w:rFonts w:ascii="Tw Cen MT" w:hAnsi="Tw Cen MT" w:cs="Arial"/>
        </w:rPr>
        <w:t xml:space="preserve"> in grado di </w:t>
      </w:r>
      <w:r w:rsidRPr="00773297">
        <w:rPr>
          <w:rStyle w:val="Enfasigrassetto"/>
          <w:rFonts w:ascii="Tw Cen MT" w:hAnsi="Tw Cen MT" w:cs="Arial"/>
          <w:bdr w:val="none" w:sz="0" w:space="0" w:color="auto" w:frame="1"/>
        </w:rPr>
        <w:t>influenzare l’intera filiera dell’uso dell’energia</w:t>
      </w:r>
      <w:r w:rsidRPr="00773297">
        <w:rPr>
          <w:rFonts w:ascii="Tw Cen MT" w:hAnsi="Tw Cen MT" w:cs="Arial"/>
        </w:rPr>
        <w:t>, </w:t>
      </w:r>
      <w:r w:rsidRPr="00773297">
        <w:rPr>
          <w:rStyle w:val="Enfasigrassetto"/>
          <w:rFonts w:ascii="Tw Cen MT" w:hAnsi="Tw Cen MT" w:cs="Arial"/>
          <w:bdr w:val="none" w:sz="0" w:space="0" w:color="auto" w:frame="1"/>
        </w:rPr>
        <w:t>la “Digital Energy</w:t>
      </w:r>
      <w:r w:rsidRPr="00773297">
        <w:rPr>
          <w:rFonts w:ascii="Tw Cen MT" w:hAnsi="Tw Cen MT" w:cs="Arial"/>
        </w:rPr>
        <w:t>” si sta caratterizzando come uno dei più importanti trend in grado di favorire </w:t>
      </w:r>
      <w:r w:rsidRPr="00773297">
        <w:rPr>
          <w:rStyle w:val="Enfasigrassetto"/>
          <w:rFonts w:ascii="Tw Cen MT" w:hAnsi="Tw Cen MT" w:cs="Arial"/>
          <w:bdr w:val="none" w:sz="0" w:space="0" w:color="auto" w:frame="1"/>
        </w:rPr>
        <w:t>l’evoluzione in chiave innovativa dell’impresa</w:t>
      </w:r>
      <w:r w:rsidRPr="00773297">
        <w:rPr>
          <w:rFonts w:ascii="Tw Cen MT" w:hAnsi="Tw Cen MT" w:cs="Arial"/>
        </w:rPr>
        <w:t xml:space="preserve">, dall’acquisto al suo utilizzo nei processi produttivi. Soluzioni che sono sempre più legate ad </w:t>
      </w:r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architetture distribuite ed aperte con funzioni di elaborazioni che dall’essere “a bordo macchina” diventano sempre più nel </w:t>
      </w:r>
      <w:proofErr w:type="spellStart"/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>cloud</w:t>
      </w:r>
      <w:proofErr w:type="spellEnd"/>
      <w:r w:rsidR="002A5018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 (</w:t>
      </w:r>
      <w:proofErr w:type="spellStart"/>
      <w:r w:rsidR="002A5018">
        <w:rPr>
          <w:rStyle w:val="Enfasicorsivo"/>
          <w:rFonts w:ascii="Tw Cen MT" w:hAnsi="Tw Cen MT" w:cs="Arial"/>
          <w:i w:val="0"/>
          <w:bdr w:val="none" w:sz="0" w:space="0" w:color="auto" w:frame="1"/>
        </w:rPr>
        <w:t>IoT</w:t>
      </w:r>
      <w:proofErr w:type="spellEnd"/>
      <w:r w:rsidR="002A5018">
        <w:rPr>
          <w:rStyle w:val="Enfasicorsivo"/>
          <w:rFonts w:ascii="Tw Cen MT" w:hAnsi="Tw Cen MT" w:cs="Arial"/>
          <w:i w:val="0"/>
          <w:bdr w:val="none" w:sz="0" w:space="0" w:color="auto" w:frame="1"/>
        </w:rPr>
        <w:t>)</w:t>
      </w:r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, elaborate con gli strumenti di (big) data </w:t>
      </w:r>
      <w:proofErr w:type="spellStart"/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>analytics</w:t>
      </w:r>
      <w:proofErr w:type="spellEnd"/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>.</w:t>
      </w:r>
    </w:p>
    <w:p w:rsidR="00F37CF9" w:rsidRPr="00773297" w:rsidRDefault="00F37CF9" w:rsidP="00F37CF9">
      <w:pPr>
        <w:pStyle w:val="NormaleWeb"/>
        <w:shd w:val="clear" w:color="auto" w:fill="FFFFFF"/>
        <w:spacing w:before="0" w:beforeAutospacing="0" w:afterLines="120" w:after="288" w:afterAutospacing="0"/>
        <w:jc w:val="both"/>
        <w:textAlignment w:val="baseline"/>
        <w:rPr>
          <w:rFonts w:ascii="Tw Cen MT" w:hAnsi="Tw Cen MT" w:cs="Arial"/>
        </w:rPr>
      </w:pPr>
      <w:r w:rsidRPr="00773297">
        <w:rPr>
          <w:rFonts w:ascii="Tw Cen MT" w:hAnsi="Tw Cen MT" w:cs="Arial"/>
        </w:rPr>
        <w:t xml:space="preserve">Il nodo dell’elaborazione dei dati in ottica di </w:t>
      </w:r>
      <w:proofErr w:type="spellStart"/>
      <w:r w:rsidRPr="00773297">
        <w:rPr>
          <w:rFonts w:ascii="Tw Cen MT" w:hAnsi="Tw Cen MT" w:cs="Arial"/>
        </w:rPr>
        <w:t>energy</w:t>
      </w:r>
      <w:proofErr w:type="spellEnd"/>
      <w:r w:rsidRPr="00773297">
        <w:rPr>
          <w:rFonts w:ascii="Tw Cen MT" w:hAnsi="Tw Cen MT" w:cs="Arial"/>
        </w:rPr>
        <w:t xml:space="preserve"> intelligence permette di giungere alla creazione di sistemi in grado di </w:t>
      </w:r>
      <w:r w:rsidRPr="00773297">
        <w:rPr>
          <w:rStyle w:val="Enfasigrassetto"/>
          <w:rFonts w:ascii="Tw Cen MT" w:hAnsi="Tw Cen MT" w:cs="Arial"/>
          <w:bdr w:val="none" w:sz="0" w:space="0" w:color="auto" w:frame="1"/>
        </w:rPr>
        <w:t xml:space="preserve">stabilire in maniera semplice ed efficace le azioni di </w:t>
      </w:r>
      <w:proofErr w:type="spellStart"/>
      <w:r w:rsidRPr="00773297">
        <w:rPr>
          <w:rStyle w:val="Enfasigrassetto"/>
          <w:rFonts w:ascii="Tw Cen MT" w:hAnsi="Tw Cen MT" w:cs="Arial"/>
          <w:bdr w:val="none" w:sz="0" w:space="0" w:color="auto" w:frame="1"/>
        </w:rPr>
        <w:t>efficientamento</w:t>
      </w:r>
      <w:proofErr w:type="spellEnd"/>
      <w:r w:rsidRPr="00773297">
        <w:rPr>
          <w:rFonts w:ascii="Tw Cen MT" w:hAnsi="Tw Cen MT" w:cs="Arial"/>
        </w:rPr>
        <w:t>, per raggiungere il consumo ottimale per ogni singola realtà aziendale. Questo consente, quindi, </w:t>
      </w:r>
      <w:hyperlink r:id="rId8" w:anchor=".Wh7KXUribIU" w:history="1">
        <w:r w:rsidRPr="00773297">
          <w:rPr>
            <w:rStyle w:val="Collegamentoipertestuale"/>
            <w:rFonts w:ascii="Tw Cen MT" w:hAnsi="Tw Cen MT" w:cs="Arial"/>
            <w:color w:val="auto"/>
            <w:bdr w:val="none" w:sz="0" w:space="0" w:color="auto" w:frame="1"/>
          </w:rPr>
          <w:t>una migliore gestione dell’energia</w:t>
        </w:r>
      </w:hyperlink>
      <w:r w:rsidRPr="00773297">
        <w:rPr>
          <w:rFonts w:ascii="Tw Cen MT" w:hAnsi="Tw Cen MT" w:cs="Arial"/>
        </w:rPr>
        <w:t xml:space="preserve"> e dei costi ad essa associati, permettendo alle imprese risparmi molto importanti. Il ritorno sull’investimento delle soluzioni di </w:t>
      </w:r>
      <w:proofErr w:type="spellStart"/>
      <w:r w:rsidRPr="00773297">
        <w:rPr>
          <w:rFonts w:ascii="Tw Cen MT" w:hAnsi="Tw Cen MT" w:cs="Arial"/>
        </w:rPr>
        <w:t>digital</w:t>
      </w:r>
      <w:proofErr w:type="spellEnd"/>
      <w:r w:rsidRPr="00773297">
        <w:rPr>
          <w:rFonts w:ascii="Tw Cen MT" w:hAnsi="Tw Cen MT" w:cs="Arial"/>
        </w:rPr>
        <w:t xml:space="preserve"> </w:t>
      </w:r>
      <w:proofErr w:type="spellStart"/>
      <w:r w:rsidRPr="00773297">
        <w:rPr>
          <w:rFonts w:ascii="Tw Cen MT" w:hAnsi="Tw Cen MT" w:cs="Arial"/>
        </w:rPr>
        <w:t>energy</w:t>
      </w:r>
      <w:proofErr w:type="spellEnd"/>
      <w:r w:rsidRPr="00773297">
        <w:rPr>
          <w:rFonts w:ascii="Tw Cen MT" w:hAnsi="Tw Cen MT" w:cs="Arial"/>
        </w:rPr>
        <w:t xml:space="preserve"> è estremamente interessante per le aziende: si parla infatti -a seconda della realtà aziendale e dalla tipologia di intervento effettuato-  </w:t>
      </w:r>
      <w:r w:rsidRPr="00D07A5A">
        <w:rPr>
          <w:rStyle w:val="Enfasigrassetto"/>
          <w:rFonts w:ascii="Tw Cen MT" w:hAnsi="Tw Cen MT" w:cs="Arial"/>
          <w:b w:val="0"/>
          <w:bdr w:val="none" w:sz="0" w:space="0" w:color="auto" w:frame="1"/>
        </w:rPr>
        <w:t>di un periodo di ritorno sull’investimento che spazia da 1,5 anni a circa 3 anni.</w:t>
      </w:r>
    </w:p>
    <w:p w:rsidR="00925015" w:rsidRDefault="00F37CF9" w:rsidP="00F37CF9">
      <w:pPr>
        <w:pStyle w:val="NormaleWeb"/>
        <w:shd w:val="clear" w:color="auto" w:fill="FFFFFF"/>
        <w:spacing w:before="0" w:beforeAutospacing="0" w:afterLines="120" w:after="288" w:afterAutospacing="0"/>
        <w:jc w:val="both"/>
        <w:textAlignment w:val="baseline"/>
        <w:rPr>
          <w:rFonts w:ascii="Tw Cen MT" w:hAnsi="Tw Cen MT" w:cs="Arial"/>
        </w:rPr>
      </w:pPr>
      <w:r w:rsidRPr="00967008">
        <w:rPr>
          <w:rStyle w:val="Enfasigrassetto"/>
          <w:rFonts w:ascii="Tw Cen MT" w:hAnsi="Tw Cen MT" w:cs="Arial"/>
          <w:b w:val="0"/>
          <w:bdr w:val="none" w:sz="0" w:space="0" w:color="auto" w:frame="1"/>
        </w:rPr>
        <w:t xml:space="preserve">Tali soluzioni sono, inoltre, inserite </w:t>
      </w:r>
      <w:r w:rsidR="009A4781">
        <w:rPr>
          <w:rStyle w:val="Enfasigrassetto"/>
          <w:rFonts w:ascii="Tw Cen MT" w:hAnsi="Tw Cen MT" w:cs="Arial"/>
          <w:b w:val="0"/>
          <w:bdr w:val="none" w:sz="0" w:space="0" w:color="auto" w:frame="1"/>
        </w:rPr>
        <w:t xml:space="preserve">in una serie di </w:t>
      </w:r>
      <w:r w:rsidR="009A4781" w:rsidRPr="00D07A5A">
        <w:rPr>
          <w:rStyle w:val="Enfasigrassetto"/>
          <w:rFonts w:ascii="Tw Cen MT" w:hAnsi="Tw Cen MT" w:cs="Arial"/>
          <w:bdr w:val="none" w:sz="0" w:space="0" w:color="auto" w:frame="1"/>
        </w:rPr>
        <w:t xml:space="preserve">misure </w:t>
      </w:r>
      <w:r w:rsidR="00E9363F" w:rsidRPr="00D07A5A">
        <w:rPr>
          <w:rStyle w:val="Enfasigrassetto"/>
          <w:rFonts w:ascii="Tw Cen MT" w:hAnsi="Tw Cen MT" w:cs="Arial"/>
          <w:bdr w:val="none" w:sz="0" w:space="0" w:color="auto" w:frame="1"/>
        </w:rPr>
        <w:t>di</w:t>
      </w:r>
      <w:r w:rsidRPr="00D07A5A">
        <w:rPr>
          <w:rStyle w:val="Enfasigrassetto"/>
          <w:rFonts w:ascii="Tw Cen MT" w:hAnsi="Tw Cen MT" w:cs="Arial"/>
          <w:bdr w:val="none" w:sz="0" w:space="0" w:color="auto" w:frame="1"/>
        </w:rPr>
        <w:t xml:space="preserve"> </w:t>
      </w:r>
      <w:r w:rsidR="00E9363F" w:rsidRPr="00D07A5A">
        <w:rPr>
          <w:rStyle w:val="Enfasigrassetto"/>
          <w:rFonts w:ascii="Tw Cen MT" w:hAnsi="Tw Cen MT" w:cs="Arial"/>
          <w:bdr w:val="none" w:sz="0" w:space="0" w:color="auto" w:frame="1"/>
        </w:rPr>
        <w:t>incentivo</w:t>
      </w:r>
      <w:r w:rsidR="00E9363F">
        <w:rPr>
          <w:rStyle w:val="Enfasigrassetto"/>
          <w:rFonts w:ascii="Tw Cen MT" w:hAnsi="Tw Cen MT" w:cs="Arial"/>
          <w:b w:val="0"/>
          <w:bdr w:val="none" w:sz="0" w:space="0" w:color="auto" w:frame="1"/>
        </w:rPr>
        <w:t xml:space="preserve"> previste dal Governo e dall’Europa </w:t>
      </w:r>
      <w:r w:rsidR="00003FBF" w:rsidRPr="00967008">
        <w:rPr>
          <w:rStyle w:val="Enfasigrassetto"/>
          <w:rFonts w:ascii="Tw Cen MT" w:hAnsi="Tw Cen MT" w:cs="Arial"/>
          <w:b w:val="0"/>
          <w:bdr w:val="none" w:sz="0" w:space="0" w:color="auto" w:frame="1"/>
        </w:rPr>
        <w:t>a sostegno delle imprese</w:t>
      </w:r>
      <w:r w:rsidR="00E9363F">
        <w:rPr>
          <w:rStyle w:val="Enfasigrassetto"/>
          <w:rFonts w:ascii="Tw Cen MT" w:hAnsi="Tw Cen MT" w:cs="Arial"/>
          <w:b w:val="0"/>
          <w:bdr w:val="none" w:sz="0" w:space="0" w:color="auto" w:frame="1"/>
        </w:rPr>
        <w:t xml:space="preserve"> per favorire</w:t>
      </w:r>
      <w:r w:rsidR="00003FBF" w:rsidRPr="00967008">
        <w:rPr>
          <w:rStyle w:val="Enfasigrassetto"/>
          <w:rFonts w:ascii="Tw Cen MT" w:hAnsi="Tw Cen MT" w:cs="Arial"/>
          <w:b w:val="0"/>
          <w:bdr w:val="none" w:sz="0" w:space="0" w:color="auto" w:frame="1"/>
        </w:rPr>
        <w:t xml:space="preserve"> </w:t>
      </w:r>
      <w:r w:rsidR="00003FBF" w:rsidRPr="00D07A5A">
        <w:rPr>
          <w:rStyle w:val="Enfasigrassetto"/>
          <w:rFonts w:ascii="Tw Cen MT" w:hAnsi="Tw Cen MT" w:cs="Arial"/>
          <w:bdr w:val="none" w:sz="0" w:space="0" w:color="auto" w:frame="1"/>
        </w:rPr>
        <w:t xml:space="preserve">processi di </w:t>
      </w:r>
      <w:r w:rsidR="004F771A" w:rsidRPr="00D07A5A">
        <w:rPr>
          <w:rStyle w:val="Enfasigrassetto"/>
          <w:rFonts w:ascii="Tw Cen MT" w:hAnsi="Tw Cen MT" w:cs="Arial"/>
          <w:bdr w:val="none" w:sz="0" w:space="0" w:color="auto" w:frame="1"/>
        </w:rPr>
        <w:t>transizione energetica</w:t>
      </w:r>
      <w:r w:rsidR="00003FBF" w:rsidRPr="00967008">
        <w:rPr>
          <w:rStyle w:val="Enfasigrassetto"/>
          <w:rFonts w:ascii="Tw Cen MT" w:hAnsi="Tw Cen MT" w:cs="Arial"/>
          <w:b w:val="0"/>
          <w:bdr w:val="none" w:sz="0" w:space="0" w:color="auto" w:frame="1"/>
        </w:rPr>
        <w:t xml:space="preserve"> in ottica green</w:t>
      </w:r>
      <w:r w:rsidRPr="00967008">
        <w:rPr>
          <w:rFonts w:ascii="Tw Cen MT" w:hAnsi="Tw Cen MT" w:cs="Arial"/>
          <w:b/>
        </w:rPr>
        <w:t>.</w:t>
      </w:r>
      <w:r w:rsidRPr="00773297">
        <w:rPr>
          <w:rFonts w:ascii="Tw Cen MT" w:hAnsi="Tw Cen MT" w:cs="Arial"/>
        </w:rPr>
        <w:t xml:space="preserve"> Benefici che si aggiungono ai risparmi in termini di efficienza energetica, che quindi si traduce in minore quantità di energia acquistata, e che si associano anche ad una m</w:t>
      </w:r>
      <w:r>
        <w:rPr>
          <w:rFonts w:ascii="Tw Cen MT" w:hAnsi="Tw Cen MT" w:cs="Arial"/>
        </w:rPr>
        <w:t>igliore gestione degli impianti.</w:t>
      </w:r>
      <w:r w:rsidRPr="00773297">
        <w:rPr>
          <w:rFonts w:ascii="Tw Cen MT" w:hAnsi="Tw Cen MT" w:cs="Arial"/>
        </w:rPr>
        <w:t xml:space="preserve"> </w:t>
      </w:r>
    </w:p>
    <w:p w:rsidR="00F37CF9" w:rsidRDefault="00F37CF9" w:rsidP="00F37CF9">
      <w:pPr>
        <w:pStyle w:val="NormaleWeb"/>
        <w:shd w:val="clear" w:color="auto" w:fill="FFFFFF"/>
        <w:spacing w:before="0" w:beforeAutospacing="0" w:afterLines="120" w:after="288" w:afterAutospacing="0"/>
        <w:jc w:val="both"/>
        <w:textAlignment w:val="baseline"/>
        <w:rPr>
          <w:rFonts w:ascii="Tw Cen MT" w:hAnsi="Tw Cen MT" w:cs="Arial"/>
        </w:rPr>
      </w:pPr>
      <w:r>
        <w:rPr>
          <w:rFonts w:ascii="Tw Cen MT" w:hAnsi="Tw Cen MT" w:cs="Arial"/>
        </w:rPr>
        <w:t>L</w:t>
      </w:r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e soluzioni consentono di effettuare anche attività di </w:t>
      </w:r>
      <w:r w:rsidRPr="00925015">
        <w:rPr>
          <w:rStyle w:val="Enfasicorsivo"/>
          <w:rFonts w:ascii="Tw Cen MT" w:hAnsi="Tw Cen MT" w:cs="Arial"/>
          <w:b/>
          <w:i w:val="0"/>
          <w:bdr w:val="none" w:sz="0" w:space="0" w:color="auto" w:frame="1"/>
        </w:rPr>
        <w:t xml:space="preserve">manutenzione </w:t>
      </w:r>
      <w:r w:rsidR="009A4781">
        <w:rPr>
          <w:rStyle w:val="Enfasicorsivo"/>
          <w:rFonts w:ascii="Tw Cen MT" w:hAnsi="Tw Cen MT" w:cs="Arial"/>
          <w:b/>
          <w:i w:val="0"/>
          <w:bdr w:val="none" w:sz="0" w:space="0" w:color="auto" w:frame="1"/>
        </w:rPr>
        <w:t>predittiva</w:t>
      </w:r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 degli impianti di produzione, un nuovo processo di efficienza reso possibile dall’analisi dei consumi energetici comparati a modelli di comportamento “ottimali” e ad altri dati che provengono dalla gestione della produzione</w:t>
      </w:r>
      <w:r w:rsidRPr="00773297">
        <w:rPr>
          <w:rFonts w:ascii="Tw Cen MT" w:hAnsi="Tw Cen MT" w:cs="Arial"/>
        </w:rPr>
        <w:t>. </w:t>
      </w:r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>Grazie ad algoritmi evoluti di Machine Learning è possibile modellare un set di indicatori per tenere sotto osservazione fattori caratteristici dell’azienda come le performance, la qualità e la disponibilità degli impianti che, unitamente alla dimensione energetica, diventano il vero valore aggiunto di una trasformazione digitale in area industriale</w:t>
      </w:r>
      <w:r w:rsidRPr="00773297">
        <w:rPr>
          <w:rFonts w:ascii="Tw Cen MT" w:hAnsi="Tw Cen MT" w:cs="Arial"/>
        </w:rPr>
        <w:t>.</w:t>
      </w:r>
    </w:p>
    <w:p w:rsidR="00EB1CB8" w:rsidRPr="00773297" w:rsidRDefault="00EB1CB8" w:rsidP="00EB1CB8">
      <w:pPr>
        <w:pStyle w:val="NormaleWeb"/>
        <w:shd w:val="clear" w:color="auto" w:fill="FFFFFF"/>
        <w:spacing w:before="0" w:beforeAutospacing="0" w:afterLines="120" w:after="288" w:afterAutospacing="0"/>
        <w:jc w:val="center"/>
        <w:textAlignment w:val="baseline"/>
        <w:rPr>
          <w:rFonts w:ascii="Tw Cen MT" w:hAnsi="Tw Cen MT" w:cs="Arial"/>
        </w:rPr>
      </w:pPr>
      <w:r>
        <w:rPr>
          <w:rFonts w:ascii="Tw Cen MT" w:hAnsi="Tw Cen MT" w:cs="Arial"/>
        </w:rPr>
        <w:t>____________________________________________________________</w:t>
      </w:r>
    </w:p>
    <w:p w:rsidR="00242DCB" w:rsidRPr="00773297" w:rsidRDefault="00242DCB" w:rsidP="00242DCB">
      <w:pPr>
        <w:pStyle w:val="NormaleWeb"/>
        <w:shd w:val="clear" w:color="auto" w:fill="FFFFFF"/>
        <w:spacing w:before="0" w:beforeAutospacing="0" w:afterLines="120" w:after="288" w:afterAutospacing="0"/>
        <w:jc w:val="both"/>
        <w:textAlignment w:val="baseline"/>
        <w:rPr>
          <w:rFonts w:ascii="Tw Cen MT" w:hAnsi="Tw Cen MT" w:cs="Arial"/>
        </w:rPr>
      </w:pPr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La </w:t>
      </w:r>
      <w:proofErr w:type="spellStart"/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>digital</w:t>
      </w:r>
      <w:proofErr w:type="spellEnd"/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 </w:t>
      </w:r>
      <w:proofErr w:type="spellStart"/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>energy</w:t>
      </w:r>
      <w:proofErr w:type="spellEnd"/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 rappresenta</w:t>
      </w:r>
      <w:r w:rsidR="00B83C69">
        <w:rPr>
          <w:rStyle w:val="Enfasicorsivo"/>
          <w:rFonts w:ascii="Tw Cen MT" w:hAnsi="Tw Cen MT" w:cs="Arial"/>
          <w:i w:val="0"/>
          <w:bdr w:val="none" w:sz="0" w:space="0" w:color="auto" w:frame="1"/>
        </w:rPr>
        <w:t>, dunque,</w:t>
      </w:r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 oggi</w:t>
      </w:r>
      <w:r w:rsidR="00B83C69">
        <w:rPr>
          <w:rStyle w:val="Enfasicorsivo"/>
          <w:rFonts w:ascii="Tw Cen MT" w:hAnsi="Tw Cen MT" w:cs="Arial"/>
          <w:i w:val="0"/>
          <w:bdr w:val="none" w:sz="0" w:space="0" w:color="auto" w:frame="1"/>
        </w:rPr>
        <w:t>,</w:t>
      </w:r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 l’ultima frontiera degli interventi in efficienza energetica, che va nella direzione di una decisa integrazione tra efficienza e industria 4.0. Un ambito in cui le</w:t>
      </w:r>
      <w:r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 </w:t>
      </w:r>
      <w:r w:rsidR="00D07A5A">
        <w:rPr>
          <w:rStyle w:val="Enfasicorsivo"/>
          <w:rFonts w:ascii="Tw Cen MT" w:hAnsi="Tw Cen MT" w:cs="Arial"/>
          <w:b/>
          <w:i w:val="0"/>
          <w:bdr w:val="none" w:sz="0" w:space="0" w:color="auto" w:frame="1"/>
        </w:rPr>
        <w:t>competenze d</w:t>
      </w:r>
      <w:r w:rsidRPr="00D07A5A">
        <w:rPr>
          <w:rStyle w:val="Enfasicorsivo"/>
          <w:rFonts w:ascii="Tw Cen MT" w:hAnsi="Tw Cen MT" w:cs="Arial"/>
          <w:b/>
          <w:i w:val="0"/>
          <w:bdr w:val="none" w:sz="0" w:space="0" w:color="auto" w:frame="1"/>
        </w:rPr>
        <w:t>i responsabili e</w:t>
      </w:r>
      <w:r w:rsidR="00D07A5A">
        <w:rPr>
          <w:rStyle w:val="Enfasicorsivo"/>
          <w:rFonts w:ascii="Tw Cen MT" w:hAnsi="Tw Cen MT" w:cs="Arial"/>
          <w:b/>
          <w:i w:val="0"/>
          <w:bdr w:val="none" w:sz="0" w:space="0" w:color="auto" w:frame="1"/>
        </w:rPr>
        <w:t xml:space="preserve">d </w:t>
      </w:r>
      <w:r w:rsidRPr="00D07A5A">
        <w:rPr>
          <w:rStyle w:val="Enfasicorsivo"/>
          <w:rFonts w:ascii="Tw Cen MT" w:hAnsi="Tw Cen MT" w:cs="Arial"/>
          <w:b/>
          <w:i w:val="0"/>
          <w:bdr w:val="none" w:sz="0" w:space="0" w:color="auto" w:frame="1"/>
        </w:rPr>
        <w:t>operatori</w:t>
      </w:r>
      <w:r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Enfasicorsivo"/>
          <w:rFonts w:ascii="Tw Cen MT" w:hAnsi="Tw Cen MT" w:cs="Arial"/>
          <w:i w:val="0"/>
          <w:bdr w:val="none" w:sz="0" w:space="0" w:color="auto" w:frame="1"/>
        </w:rPr>
        <w:t>e le loro</w:t>
      </w:r>
      <w:r w:rsidRPr="00773297">
        <w:rPr>
          <w:rStyle w:val="Enfasicorsivo"/>
          <w:rFonts w:ascii="Tw Cen MT" w:hAnsi="Tw Cen MT" w:cs="Arial"/>
          <w:i w:val="0"/>
          <w:bdr w:val="none" w:sz="0" w:space="0" w:color="auto" w:frame="1"/>
        </w:rPr>
        <w:t xml:space="preserve"> capacità di analisi avanzate possono fare la differenza.</w:t>
      </w:r>
    </w:p>
    <w:p w:rsidR="006A5C65" w:rsidRPr="005C1FE4" w:rsidRDefault="00242DCB" w:rsidP="00C128B2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</w:rPr>
      </w:pPr>
      <w:r>
        <w:rPr>
          <w:rStyle w:val="Enfasigrassetto"/>
          <w:rFonts w:ascii="Tw Cen MT" w:hAnsi="Tw Cen MT" w:cs="Arial"/>
          <w:b w:val="0"/>
        </w:rPr>
        <w:t>In questa ottica, i</w:t>
      </w:r>
      <w:r w:rsidR="006A5C65" w:rsidRPr="005C1FE4">
        <w:rPr>
          <w:rStyle w:val="Enfasigrassetto"/>
          <w:rFonts w:ascii="Tw Cen MT" w:hAnsi="Tw Cen MT" w:cs="Arial"/>
          <w:b w:val="0"/>
        </w:rPr>
        <w:t xml:space="preserve">l progetto, promosso da Assoservice in collaborazione con ITS Cuccovillo, da candidare sull’Avviso 1/2021 </w:t>
      </w:r>
      <w:proofErr w:type="spellStart"/>
      <w:r w:rsidR="006A5C65" w:rsidRPr="005C1FE4">
        <w:rPr>
          <w:rStyle w:val="Enfasigrassetto"/>
          <w:rFonts w:ascii="Tw Cen MT" w:hAnsi="Tw Cen MT" w:cs="Arial"/>
          <w:b w:val="0"/>
        </w:rPr>
        <w:t>Fondimpresa</w:t>
      </w:r>
      <w:proofErr w:type="spellEnd"/>
      <w:r w:rsidR="006A5C65" w:rsidRPr="005C1FE4">
        <w:rPr>
          <w:rStyle w:val="Enfasigrassetto"/>
          <w:rFonts w:ascii="Tw Cen MT" w:hAnsi="Tw Cen MT" w:cs="Arial"/>
          <w:b w:val="0"/>
        </w:rPr>
        <w:t xml:space="preserve">, </w:t>
      </w:r>
      <w:r w:rsidR="00E77B65">
        <w:rPr>
          <w:rStyle w:val="Enfasigrassetto"/>
          <w:rFonts w:ascii="Tw Cen MT" w:hAnsi="Tw Cen MT" w:cs="Arial"/>
          <w:b w:val="0"/>
        </w:rPr>
        <w:t>si rivolge ad aziend</w:t>
      </w:r>
      <w:r w:rsidR="00C06664">
        <w:rPr>
          <w:rStyle w:val="Enfasigrassetto"/>
          <w:rFonts w:ascii="Tw Cen MT" w:hAnsi="Tw Cen MT" w:cs="Arial"/>
          <w:b w:val="0"/>
        </w:rPr>
        <w:t>e</w:t>
      </w:r>
      <w:r w:rsidR="00E77B65">
        <w:rPr>
          <w:rStyle w:val="Enfasigrassetto"/>
          <w:rFonts w:ascii="Tw Cen MT" w:hAnsi="Tw Cen MT" w:cs="Arial"/>
          <w:b w:val="0"/>
        </w:rPr>
        <w:t xml:space="preserve"> partner</w:t>
      </w:r>
      <w:r w:rsidR="005E06D4">
        <w:rPr>
          <w:rStyle w:val="Enfasigrassetto"/>
          <w:rFonts w:ascii="Tw Cen MT" w:hAnsi="Tw Cen MT" w:cs="Arial"/>
          <w:b w:val="0"/>
        </w:rPr>
        <w:t xml:space="preserve"> </w:t>
      </w:r>
      <w:r w:rsidR="006A5C65" w:rsidRPr="007E5695">
        <w:rPr>
          <w:rStyle w:val="Enfasigrassetto"/>
          <w:rFonts w:ascii="Tw Cen MT" w:hAnsi="Tw Cen MT" w:cs="Arial"/>
        </w:rPr>
        <w:t>attualmente interessat</w:t>
      </w:r>
      <w:r w:rsidR="00E77B65" w:rsidRPr="007E5695">
        <w:rPr>
          <w:rStyle w:val="Enfasigrassetto"/>
          <w:rFonts w:ascii="Tw Cen MT" w:hAnsi="Tw Cen MT" w:cs="Arial"/>
        </w:rPr>
        <w:t>e</w:t>
      </w:r>
      <w:r w:rsidR="006A5C65" w:rsidRPr="007E5695">
        <w:rPr>
          <w:rStyle w:val="Enfasigrassetto"/>
          <w:rFonts w:ascii="Tw Cen MT" w:hAnsi="Tw Cen MT" w:cs="Arial"/>
        </w:rPr>
        <w:t xml:space="preserve"> da</w:t>
      </w:r>
      <w:r w:rsidR="00F37CF9" w:rsidRPr="007E5695">
        <w:rPr>
          <w:rStyle w:val="Enfasigrassetto"/>
          <w:rFonts w:ascii="Tw Cen MT" w:hAnsi="Tw Cen MT" w:cs="Arial"/>
        </w:rPr>
        <w:t xml:space="preserve"> progetti di innovazione</w:t>
      </w:r>
      <w:r w:rsidR="006A5C65" w:rsidRPr="007E5695">
        <w:rPr>
          <w:rStyle w:val="Enfasigrassetto"/>
          <w:rFonts w:ascii="Tw Cen MT" w:hAnsi="Tw Cen MT" w:cs="Arial"/>
        </w:rPr>
        <w:t xml:space="preserve"> </w:t>
      </w:r>
      <w:r w:rsidR="006A5C65" w:rsidRPr="005C1FE4">
        <w:rPr>
          <w:rStyle w:val="Enfasigrassetto"/>
          <w:rFonts w:ascii="Tw Cen MT" w:hAnsi="Tw Cen MT" w:cs="Arial"/>
          <w:b w:val="0"/>
        </w:rPr>
        <w:t xml:space="preserve">di processo </w:t>
      </w:r>
      <w:r w:rsidR="005E06D4">
        <w:rPr>
          <w:rStyle w:val="Enfasigrassetto"/>
          <w:rFonts w:ascii="Tw Cen MT" w:hAnsi="Tw Cen MT" w:cs="Arial"/>
          <w:b w:val="0"/>
        </w:rPr>
        <w:t>o</w:t>
      </w:r>
      <w:r w:rsidR="006A5C65" w:rsidRPr="005C1FE4">
        <w:rPr>
          <w:rStyle w:val="Enfasigrassetto"/>
          <w:rFonts w:ascii="Tw Cen MT" w:hAnsi="Tw Cen MT" w:cs="Arial"/>
          <w:b w:val="0"/>
        </w:rPr>
        <w:t xml:space="preserve"> di prodotto </w:t>
      </w:r>
      <w:r w:rsidR="00C128B2">
        <w:rPr>
          <w:rStyle w:val="Enfasigrassetto"/>
          <w:rFonts w:ascii="Tw Cen MT" w:hAnsi="Tw Cen MT" w:cs="Arial"/>
          <w:b w:val="0"/>
        </w:rPr>
        <w:t xml:space="preserve">che </w:t>
      </w:r>
      <w:r w:rsidR="007E5695">
        <w:rPr>
          <w:rStyle w:val="Enfasigrassetto"/>
          <w:rFonts w:ascii="Tw Cen MT" w:hAnsi="Tw Cen MT" w:cs="Arial"/>
          <w:b w:val="0"/>
        </w:rPr>
        <w:t xml:space="preserve">comportano, come principale obiettivo e/o come obiettivo complementare, </w:t>
      </w:r>
      <w:r w:rsidR="00C128B2">
        <w:rPr>
          <w:rStyle w:val="Enfasigrassetto"/>
          <w:rFonts w:ascii="Tw Cen MT" w:hAnsi="Tw Cen MT" w:cs="Arial"/>
          <w:b w:val="0"/>
        </w:rPr>
        <w:t>l’introduzione di tecnologie</w:t>
      </w:r>
      <w:r w:rsidR="00E77B65">
        <w:rPr>
          <w:rStyle w:val="Enfasigrassetto"/>
          <w:rFonts w:ascii="Tw Cen MT" w:hAnsi="Tw Cen MT" w:cs="Arial"/>
          <w:b w:val="0"/>
        </w:rPr>
        <w:t xml:space="preserve"> </w:t>
      </w:r>
      <w:proofErr w:type="spellStart"/>
      <w:r w:rsidR="00C128B2">
        <w:rPr>
          <w:rStyle w:val="Enfasigrassetto"/>
          <w:rFonts w:ascii="Tw Cen MT" w:hAnsi="Tw Cen MT" w:cs="Arial"/>
          <w:b w:val="0"/>
        </w:rPr>
        <w:t>Industry</w:t>
      </w:r>
      <w:proofErr w:type="spellEnd"/>
      <w:r w:rsidR="00C128B2">
        <w:rPr>
          <w:rStyle w:val="Enfasigrassetto"/>
          <w:rFonts w:ascii="Tw Cen MT" w:hAnsi="Tw Cen MT" w:cs="Arial"/>
          <w:b w:val="0"/>
        </w:rPr>
        <w:t xml:space="preserve"> 4.0 per </w:t>
      </w:r>
      <w:r w:rsidR="00E77B65">
        <w:rPr>
          <w:rStyle w:val="Enfasigrassetto"/>
          <w:rFonts w:ascii="Tw Cen MT" w:hAnsi="Tw Cen MT" w:cs="Arial"/>
          <w:b w:val="0"/>
        </w:rPr>
        <w:t>l’</w:t>
      </w:r>
      <w:proofErr w:type="spellStart"/>
      <w:r w:rsidR="00E77B65">
        <w:rPr>
          <w:rStyle w:val="Enfasigrassetto"/>
          <w:rFonts w:ascii="Tw Cen MT" w:hAnsi="Tw Cen MT" w:cs="Arial"/>
          <w:b w:val="0"/>
        </w:rPr>
        <w:t>efficientamento</w:t>
      </w:r>
      <w:proofErr w:type="spellEnd"/>
      <w:r w:rsidR="00E77B65">
        <w:rPr>
          <w:rStyle w:val="Enfasigrassetto"/>
          <w:rFonts w:ascii="Tw Cen MT" w:hAnsi="Tw Cen MT" w:cs="Arial"/>
          <w:b w:val="0"/>
        </w:rPr>
        <w:t xml:space="preserve"> energetico</w:t>
      </w:r>
      <w:r w:rsidR="005E06D4">
        <w:rPr>
          <w:rStyle w:val="Enfasigrassetto"/>
          <w:rFonts w:ascii="Tw Cen MT" w:hAnsi="Tw Cen MT" w:cs="Arial"/>
          <w:b w:val="0"/>
        </w:rPr>
        <w:t>, per le quali</w:t>
      </w:r>
      <w:r w:rsidR="00B83C69">
        <w:rPr>
          <w:rStyle w:val="Enfasigrassetto"/>
          <w:rFonts w:ascii="Tw Cen MT" w:hAnsi="Tw Cen MT" w:cs="Arial"/>
          <w:b w:val="0"/>
        </w:rPr>
        <w:t xml:space="preserve"> vi è l’esigenza</w:t>
      </w:r>
      <w:r w:rsidR="006A5C65" w:rsidRPr="005C1FE4">
        <w:rPr>
          <w:rStyle w:val="Enfasigrassetto"/>
          <w:rFonts w:ascii="Tw Cen MT" w:hAnsi="Tw Cen MT" w:cs="Arial"/>
          <w:b w:val="0"/>
        </w:rPr>
        <w:t xml:space="preserve"> di formare/aggiornare il personale dipendente sui temi correlati</w:t>
      </w:r>
      <w:r w:rsidR="00C128B2">
        <w:rPr>
          <w:rStyle w:val="Enfasigrassetto"/>
          <w:rFonts w:ascii="Tw Cen MT" w:hAnsi="Tw Cen MT" w:cs="Arial"/>
          <w:b w:val="0"/>
        </w:rPr>
        <w:t>,</w:t>
      </w:r>
      <w:r w:rsidR="006A5C65" w:rsidRPr="005C1FE4">
        <w:rPr>
          <w:rStyle w:val="Enfasigrassetto"/>
          <w:rFonts w:ascii="Tw Cen MT" w:hAnsi="Tw Cen MT" w:cs="Arial"/>
          <w:b w:val="0"/>
        </w:rPr>
        <w:t xml:space="preserve"> attraverso percorsi di formazione dedicati (con minimo 3 partecipanti).</w:t>
      </w:r>
    </w:p>
    <w:p w:rsidR="005C1FE4" w:rsidRDefault="005C1FE4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  <w:sz w:val="22"/>
          <w:szCs w:val="22"/>
        </w:rPr>
      </w:pPr>
    </w:p>
    <w:p w:rsidR="00F37CF9" w:rsidRDefault="00F37CF9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  <w:sz w:val="22"/>
          <w:szCs w:val="22"/>
        </w:rPr>
      </w:pPr>
    </w:p>
    <w:p w:rsidR="00F37CF9" w:rsidRDefault="00F37CF9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  <w:sz w:val="22"/>
          <w:szCs w:val="22"/>
        </w:rPr>
      </w:pPr>
    </w:p>
    <w:p w:rsidR="00F37CF9" w:rsidRDefault="00F43081" w:rsidP="00F43081">
      <w:pPr>
        <w:pStyle w:val="NormaleWeb"/>
        <w:shd w:val="clear" w:color="auto" w:fill="FFFFFF"/>
        <w:tabs>
          <w:tab w:val="left" w:pos="1200"/>
        </w:tabs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  <w:sz w:val="22"/>
          <w:szCs w:val="22"/>
        </w:rPr>
      </w:pPr>
      <w:r>
        <w:rPr>
          <w:rStyle w:val="Enfasigrassetto"/>
          <w:rFonts w:ascii="Tw Cen MT" w:hAnsi="Tw Cen MT" w:cs="Arial"/>
          <w:b w:val="0"/>
          <w:sz w:val="22"/>
          <w:szCs w:val="22"/>
        </w:rPr>
        <w:tab/>
      </w:r>
    </w:p>
    <w:p w:rsidR="001F0B87" w:rsidRPr="00F03EDA" w:rsidRDefault="00FA59F6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  <w:b w:val="0"/>
        </w:rPr>
      </w:pPr>
      <w:r w:rsidRPr="00F03EDA">
        <w:rPr>
          <w:rStyle w:val="Enfasigrassetto"/>
          <w:rFonts w:ascii="Tw Cen MT" w:hAnsi="Tw Cen MT" w:cs="Arial"/>
          <w:b w:val="0"/>
        </w:rPr>
        <w:lastRenderedPageBreak/>
        <w:t>Al fine di poter strutturare percorsi formativi allineati ai fabbisogni specifici di ogni impresa, vi preghiamo</w:t>
      </w:r>
      <w:r w:rsidR="00336EE6" w:rsidRPr="00F03EDA">
        <w:rPr>
          <w:rStyle w:val="Enfasigrassetto"/>
          <w:rFonts w:ascii="Tw Cen MT" w:hAnsi="Tw Cen MT" w:cs="Arial"/>
          <w:b w:val="0"/>
        </w:rPr>
        <w:t xml:space="preserve"> di </w:t>
      </w:r>
      <w:r w:rsidR="00DC331D" w:rsidRPr="00F03EDA">
        <w:rPr>
          <w:rStyle w:val="Enfasigrassetto"/>
          <w:rFonts w:ascii="Tw Cen MT" w:hAnsi="Tw Cen MT" w:cs="Arial"/>
          <w:b w:val="0"/>
        </w:rPr>
        <w:t xml:space="preserve">compilare la scheda seguente, </w:t>
      </w:r>
      <w:r w:rsidR="00336EE6" w:rsidRPr="00F03EDA">
        <w:rPr>
          <w:rStyle w:val="Enfasigrassetto"/>
          <w:rFonts w:ascii="Tw Cen MT" w:hAnsi="Tw Cen MT" w:cs="Arial"/>
          <w:b w:val="0"/>
        </w:rPr>
        <w:t>evidenzia</w:t>
      </w:r>
      <w:r w:rsidR="00DC331D" w:rsidRPr="00F03EDA">
        <w:rPr>
          <w:rStyle w:val="Enfasigrassetto"/>
          <w:rFonts w:ascii="Tw Cen MT" w:hAnsi="Tw Cen MT" w:cs="Arial"/>
          <w:b w:val="0"/>
        </w:rPr>
        <w:t>ndo</w:t>
      </w:r>
      <w:r w:rsidR="00336EE6" w:rsidRPr="00F03EDA">
        <w:rPr>
          <w:rStyle w:val="Enfasigrassetto"/>
          <w:rFonts w:ascii="Tw Cen MT" w:hAnsi="Tw Cen MT" w:cs="Arial"/>
          <w:b w:val="0"/>
        </w:rPr>
        <w:t xml:space="preserve"> in giallo il livello di interesse rispetto alle </w:t>
      </w:r>
      <w:r w:rsidRPr="00F03EDA">
        <w:rPr>
          <w:rStyle w:val="Enfasigrassetto"/>
          <w:rFonts w:ascii="Tw Cen MT" w:hAnsi="Tw Cen MT" w:cs="Arial"/>
          <w:b w:val="0"/>
        </w:rPr>
        <w:t>seguenti</w:t>
      </w:r>
      <w:r w:rsidR="00336EE6" w:rsidRPr="00F03EDA">
        <w:rPr>
          <w:rStyle w:val="Enfasigrassetto"/>
          <w:rFonts w:ascii="Tw Cen MT" w:hAnsi="Tw Cen MT" w:cs="Arial"/>
          <w:b w:val="0"/>
        </w:rPr>
        <w:t xml:space="preserve"> tematiche:</w:t>
      </w:r>
    </w:p>
    <w:p w:rsidR="00F54ABE" w:rsidRPr="00F54ABE" w:rsidRDefault="00F54ABE" w:rsidP="00F54AB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w Cen MT" w:hAnsi="Tw Cen MT" w:cs="Arial"/>
        </w:rPr>
      </w:pPr>
    </w:p>
    <w:tbl>
      <w:tblPr>
        <w:tblStyle w:val="Grigliatabellachiara"/>
        <w:tblW w:w="4989" w:type="pct"/>
        <w:tblLook w:val="04A0" w:firstRow="1" w:lastRow="0" w:firstColumn="1" w:lastColumn="0" w:noHBand="0" w:noVBand="1"/>
      </w:tblPr>
      <w:tblGrid>
        <w:gridCol w:w="5097"/>
        <w:gridCol w:w="4510"/>
      </w:tblGrid>
      <w:tr w:rsidR="00BA0CE5" w:rsidRPr="009F5F74" w:rsidTr="006619B6">
        <w:trPr>
          <w:trHeight w:val="567"/>
        </w:trPr>
        <w:tc>
          <w:tcPr>
            <w:tcW w:w="2653" w:type="pct"/>
            <w:shd w:val="clear" w:color="auto" w:fill="FFF2CC" w:themeFill="accent4" w:themeFillTint="33"/>
            <w:vAlign w:val="center"/>
            <w:hideMark/>
          </w:tcPr>
          <w:p w:rsidR="00BA0CE5" w:rsidRPr="00BA0CE5" w:rsidRDefault="00BA0CE5" w:rsidP="00336EE6">
            <w:pPr>
              <w:jc w:val="center"/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</w:pPr>
            <w:r w:rsidRPr="00BA0CE5"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  <w:t>Tematica Formativa</w:t>
            </w:r>
          </w:p>
        </w:tc>
        <w:tc>
          <w:tcPr>
            <w:tcW w:w="2347" w:type="pct"/>
            <w:shd w:val="clear" w:color="auto" w:fill="FFF2CC" w:themeFill="accent4" w:themeFillTint="33"/>
            <w:vAlign w:val="center"/>
            <w:hideMark/>
          </w:tcPr>
          <w:p w:rsidR="00336EE6" w:rsidRPr="00BA0CE5" w:rsidRDefault="001F0B87" w:rsidP="00336EE6">
            <w:pPr>
              <w:jc w:val="center"/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  <w:t>Livello di interesse da parte dell’impresa</w:t>
            </w:r>
          </w:p>
        </w:tc>
      </w:tr>
      <w:tr w:rsidR="00BA0CE5" w:rsidRPr="00C31799" w:rsidTr="006619B6">
        <w:trPr>
          <w:trHeight w:val="454"/>
        </w:trPr>
        <w:tc>
          <w:tcPr>
            <w:tcW w:w="2653" w:type="pct"/>
            <w:shd w:val="clear" w:color="auto" w:fill="E7E6E6" w:themeFill="background2"/>
            <w:vAlign w:val="center"/>
          </w:tcPr>
          <w:p w:rsidR="00BA0CE5" w:rsidRPr="00ED2B9E" w:rsidRDefault="00F03EDA" w:rsidP="00BA0CE5">
            <w:pPr>
              <w:jc w:val="center"/>
              <w:rPr>
                <w:rFonts w:ascii="Tw Cen MT" w:eastAsia="Times New Roman" w:hAnsi="Tw Cen MT" w:cs="Arial"/>
                <w:b/>
                <w:bCs/>
                <w:color w:val="C00000"/>
                <w:kern w:val="36"/>
                <w:sz w:val="18"/>
                <w:szCs w:val="18"/>
                <w:lang w:eastAsia="it-IT"/>
              </w:rPr>
            </w:pPr>
            <w:r w:rsidRPr="00ED2B9E">
              <w:rPr>
                <w:rFonts w:ascii="Tw Cen MT" w:eastAsia="Times New Roman" w:hAnsi="Tw Cen MT" w:cs="Arial"/>
                <w:b/>
                <w:bCs/>
                <w:color w:val="C00000"/>
                <w:kern w:val="36"/>
                <w:sz w:val="18"/>
                <w:szCs w:val="18"/>
                <w:lang w:eastAsia="it-IT"/>
              </w:rPr>
              <w:t>ENERGY MANAGE</w:t>
            </w:r>
            <w:r w:rsidR="004F771A">
              <w:rPr>
                <w:rFonts w:ascii="Tw Cen MT" w:eastAsia="Times New Roman" w:hAnsi="Tw Cen MT" w:cs="Arial"/>
                <w:b/>
                <w:bCs/>
                <w:color w:val="C00000"/>
                <w:kern w:val="36"/>
                <w:sz w:val="18"/>
                <w:szCs w:val="18"/>
                <w:lang w:eastAsia="it-IT"/>
              </w:rPr>
              <w:t>MENT</w:t>
            </w:r>
            <w:r w:rsidRPr="00ED2B9E">
              <w:rPr>
                <w:rFonts w:ascii="Tw Cen MT" w:eastAsia="Times New Roman" w:hAnsi="Tw Cen MT" w:cs="Arial"/>
                <w:b/>
                <w:bCs/>
                <w:color w:val="C00000"/>
                <w:kern w:val="36"/>
                <w:sz w:val="18"/>
                <w:szCs w:val="18"/>
                <w:lang w:eastAsia="it-IT"/>
              </w:rPr>
              <w:t xml:space="preserve"> 4.0</w:t>
            </w:r>
          </w:p>
          <w:p w:rsidR="00F03EDA" w:rsidRPr="006619B6" w:rsidRDefault="006619B6" w:rsidP="004F771A">
            <w:pPr>
              <w:spacing w:after="60"/>
              <w:jc w:val="center"/>
              <w:rPr>
                <w:rFonts w:ascii="Tw Cen MT" w:eastAsiaTheme="majorEastAsia" w:hAnsi="Tw Cen MT" w:cstheme="minorHAnsi"/>
                <w:i/>
                <w:sz w:val="18"/>
                <w:szCs w:val="18"/>
              </w:rPr>
            </w:pPr>
            <w:r w:rsidRPr="006619B6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P</w:t>
            </w:r>
            <w:r w:rsidR="00F03EDA" w:rsidRPr="006619B6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reparare alla </w:t>
            </w:r>
            <w:r w:rsidR="00466D97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comprensione di tutti gli aspetti tecnologici, metodologici, economico-finanziari e giuridici legati all’introduzione di nuove tecnologie Industria 4.0 per l’</w:t>
            </w:r>
            <w:proofErr w:type="spellStart"/>
            <w:r w:rsidR="00466D97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efficientamento</w:t>
            </w:r>
            <w:proofErr w:type="spellEnd"/>
            <w:r w:rsidR="00466D97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energetico</w:t>
            </w:r>
            <w:r w:rsidR="00F03EDA" w:rsidRPr="000048A2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347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C31799" w:rsidTr="006619B6">
        <w:trPr>
          <w:trHeight w:val="454"/>
        </w:trPr>
        <w:tc>
          <w:tcPr>
            <w:tcW w:w="2653" w:type="pct"/>
            <w:shd w:val="clear" w:color="auto" w:fill="E7E6E6" w:themeFill="background2"/>
            <w:vAlign w:val="center"/>
          </w:tcPr>
          <w:p w:rsidR="00ED2B9E" w:rsidRDefault="00F03EDA" w:rsidP="00BA0CE5">
            <w:pPr>
              <w:jc w:val="center"/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</w:pPr>
            <w:r w:rsidRPr="00ED2B9E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>OTTIMIZZAZIONE DEGLI IMPIANTI DI PROCESSO</w:t>
            </w:r>
          </w:p>
          <w:p w:rsidR="00BA0CE5" w:rsidRPr="00ED2B9E" w:rsidRDefault="00F03EDA" w:rsidP="00BA0CE5">
            <w:pPr>
              <w:jc w:val="center"/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</w:pPr>
            <w:r w:rsidRPr="00ED2B9E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 xml:space="preserve"> E RISPARMIO ENERGETICO</w:t>
            </w:r>
          </w:p>
          <w:p w:rsidR="00F03EDA" w:rsidRPr="006619B6" w:rsidRDefault="00466D97" w:rsidP="00466D97">
            <w:pPr>
              <w:spacing w:after="60"/>
              <w:jc w:val="center"/>
              <w:rPr>
                <w:rFonts w:ascii="Tw Cen MT" w:eastAsiaTheme="majorEastAsia" w:hAnsi="Tw Cen MT" w:cstheme="minorHAnsi"/>
                <w:i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Fornire ai responsabili di processo una conoscenza esaustiva </w:t>
            </w:r>
            <w:r w:rsidR="00B91163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dei modelli di identificazione</w:t>
            </w:r>
            <w:r w:rsidR="004F6617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ed analisi</w:t>
            </w:r>
            <w:r w:rsidR="00B91163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delle perdite e degli sprechi</w:t>
            </w:r>
            <w:r w:rsidR="004A78A1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energetici</w:t>
            </w:r>
            <w:r w:rsidR="00B91163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e </w:t>
            </w:r>
            <w:r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dell’utilizzo delle nuove tecnologie Industria 4.0 per la gestione ottimale degli impianti dal punto di vista energetico</w:t>
            </w:r>
          </w:p>
        </w:tc>
        <w:tc>
          <w:tcPr>
            <w:tcW w:w="2347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A0CE5" w:rsidRPr="00C31799" w:rsidTr="006619B6">
        <w:trPr>
          <w:trHeight w:val="567"/>
        </w:trPr>
        <w:tc>
          <w:tcPr>
            <w:tcW w:w="2653" w:type="pct"/>
            <w:shd w:val="clear" w:color="auto" w:fill="E7E6E6" w:themeFill="background2"/>
            <w:vAlign w:val="center"/>
          </w:tcPr>
          <w:p w:rsidR="00BA0CE5" w:rsidRPr="00ED2B9E" w:rsidRDefault="00F03EDA" w:rsidP="00A93043">
            <w:pPr>
              <w:jc w:val="center"/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</w:pPr>
            <w:r w:rsidRPr="00ED2B9E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>INTERNET OF ENERGY</w:t>
            </w:r>
          </w:p>
          <w:p w:rsidR="00F03EDA" w:rsidRPr="00ED2B9E" w:rsidRDefault="006619B6" w:rsidP="0054688E">
            <w:pPr>
              <w:spacing w:after="60"/>
              <w:jc w:val="center"/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</w:pPr>
            <w:r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L</w:t>
            </w:r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’</w:t>
            </w:r>
            <w:proofErr w:type="spellStart"/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IoT</w:t>
            </w:r>
            <w:proofErr w:type="spellEnd"/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industriale applicato al settore energetico </w:t>
            </w:r>
            <w:r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per</w:t>
            </w:r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creare nuovi livelli di visibilità, tracciabilità e trasparenza tra cose connesse, monitorandole e controllandole in tempo reale come parte di un ecos</w:t>
            </w:r>
            <w:r w:rsidR="0054688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istema energetico intelligente</w:t>
            </w:r>
          </w:p>
        </w:tc>
        <w:tc>
          <w:tcPr>
            <w:tcW w:w="2347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A0CE5" w:rsidRPr="0008086F" w:rsidRDefault="00BA0CE5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336EE6" w:rsidRPr="00C31799" w:rsidTr="006619B6">
        <w:trPr>
          <w:trHeight w:val="454"/>
        </w:trPr>
        <w:tc>
          <w:tcPr>
            <w:tcW w:w="2653" w:type="pct"/>
            <w:shd w:val="clear" w:color="auto" w:fill="E7E6E6" w:themeFill="background2"/>
            <w:vAlign w:val="center"/>
          </w:tcPr>
          <w:p w:rsidR="00ED2B9E" w:rsidRDefault="006134F8" w:rsidP="00BA0CE5">
            <w:pPr>
              <w:jc w:val="center"/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</w:pPr>
            <w:r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>BIG DATA</w:t>
            </w:r>
            <w:r w:rsidR="00F03EDA" w:rsidRPr="00ED2B9E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 xml:space="preserve"> E INTELLIGENZA ARTIFICIALE </w:t>
            </w:r>
          </w:p>
          <w:p w:rsidR="00F03EDA" w:rsidRPr="00ED2B9E" w:rsidRDefault="00F03EDA" w:rsidP="00BA0CE5">
            <w:pPr>
              <w:jc w:val="center"/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</w:pPr>
            <w:r w:rsidRPr="00ED2B9E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>PER IL RISPARMIO ENERGETICO</w:t>
            </w:r>
          </w:p>
          <w:p w:rsidR="00336EE6" w:rsidRPr="00ED2B9E" w:rsidRDefault="006619B6" w:rsidP="00962160">
            <w:pPr>
              <w:spacing w:after="60"/>
              <w:jc w:val="center"/>
              <w:rPr>
                <w:rFonts w:ascii="Tw Cen MT" w:eastAsiaTheme="majorEastAsia" w:hAnsi="Tw Cen MT" w:cstheme="minorHAnsi"/>
                <w:i/>
                <w:sz w:val="18"/>
                <w:szCs w:val="18"/>
              </w:rPr>
            </w:pPr>
            <w:r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D</w:t>
            </w:r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efinire modelli di utilizzo (sperimentazione, innovazione, simulazione e previsione) dell'energia con l'uso di Big Data, Data </w:t>
            </w:r>
            <w:proofErr w:type="spellStart"/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Mining</w:t>
            </w:r>
            <w:proofErr w:type="spellEnd"/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e Intelligenza Artificiale (AI) </w:t>
            </w:r>
            <w:r w:rsidR="00406A96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per</w:t>
            </w:r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</w:t>
            </w:r>
            <w:r w:rsidR="00962160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il</w:t>
            </w:r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risparmio energetico e </w:t>
            </w:r>
            <w:r w:rsidR="00962160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l’</w:t>
            </w:r>
            <w:r w:rsidR="00F03EDA" w:rsidRPr="00ED2B9E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ottimizzazione dei processi industriali</w:t>
            </w:r>
          </w:p>
        </w:tc>
        <w:tc>
          <w:tcPr>
            <w:tcW w:w="2347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336EE6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336EE6" w:rsidRPr="00336EE6" w:rsidRDefault="00336EE6" w:rsidP="00336EE6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336EE6" w:rsidRPr="0008086F" w:rsidRDefault="00336EE6" w:rsidP="00CD700B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6619B6" w:rsidRPr="00BA0CE5" w:rsidTr="006619B6">
        <w:trPr>
          <w:trHeight w:val="451"/>
        </w:trPr>
        <w:tc>
          <w:tcPr>
            <w:tcW w:w="2653" w:type="pct"/>
            <w:shd w:val="clear" w:color="auto" w:fill="E7E6E6" w:themeFill="background2"/>
            <w:vAlign w:val="center"/>
          </w:tcPr>
          <w:p w:rsidR="00925015" w:rsidRDefault="006619B6" w:rsidP="00925015">
            <w:pPr>
              <w:jc w:val="center"/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</w:pPr>
            <w:r w:rsidRPr="00ED2B9E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>MANUTENZIONE PREDITTIVA</w:t>
            </w:r>
            <w:r w:rsidR="00925015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>, MACHINE LEARNINRG ED</w:t>
            </w:r>
            <w:r w:rsidR="00925015" w:rsidRPr="00ED2B9E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 xml:space="preserve"> </w:t>
            </w:r>
            <w:r w:rsidR="00925015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>EFFICIENTAMENTO ENERGETICO</w:t>
            </w:r>
          </w:p>
          <w:p w:rsidR="006619B6" w:rsidRPr="00ED2B9E" w:rsidRDefault="00ED2B9E" w:rsidP="007F14C3">
            <w:pPr>
              <w:pBdr>
                <w:right w:val="single" w:sz="18" w:space="15" w:color="FFFFFF"/>
              </w:pBdr>
              <w:spacing w:after="60"/>
              <w:jc w:val="center"/>
              <w:rPr>
                <w:rFonts w:ascii="Arial" w:hAnsi="Arial" w:cs="Arial"/>
                <w:caps/>
                <w:spacing w:val="-15"/>
                <w:sz w:val="62"/>
                <w:szCs w:val="62"/>
              </w:rPr>
            </w:pPr>
            <w:r>
              <w:rPr>
                <w:rFonts w:ascii="Tw Cen MT" w:eastAsia="Times New Roman" w:hAnsi="Tw Cen MT"/>
                <w:i/>
                <w:sz w:val="18"/>
                <w:szCs w:val="18"/>
                <w:lang w:eastAsia="it-IT"/>
              </w:rPr>
              <w:t>S</w:t>
            </w:r>
            <w:r w:rsidRPr="00ED2B9E">
              <w:rPr>
                <w:rFonts w:ascii="Tw Cen MT" w:eastAsia="Times New Roman" w:hAnsi="Tw Cen MT"/>
                <w:i/>
                <w:sz w:val="18"/>
                <w:szCs w:val="18"/>
                <w:lang w:eastAsia="it-IT"/>
              </w:rPr>
              <w:t xml:space="preserve">fruttare il valore </w:t>
            </w:r>
            <w:r w:rsidR="00925015">
              <w:rPr>
                <w:rFonts w:ascii="Tw Cen MT" w:eastAsia="Times New Roman" w:hAnsi="Tw Cen MT"/>
                <w:i/>
                <w:sz w:val="18"/>
                <w:szCs w:val="18"/>
                <w:lang w:eastAsia="it-IT"/>
              </w:rPr>
              <w:t xml:space="preserve">del Machine Learning e </w:t>
            </w:r>
            <w:r w:rsidRPr="00ED2B9E">
              <w:rPr>
                <w:rFonts w:ascii="Tw Cen MT" w:eastAsia="Times New Roman" w:hAnsi="Tw Cen MT"/>
                <w:i/>
                <w:sz w:val="18"/>
                <w:szCs w:val="18"/>
                <w:lang w:eastAsia="it-IT"/>
              </w:rPr>
              <w:t xml:space="preserve">degli Analytics per monitorare </w:t>
            </w:r>
            <w:r w:rsidR="00A565A9">
              <w:rPr>
                <w:rFonts w:ascii="Tw Cen MT" w:eastAsia="Times New Roman" w:hAnsi="Tw Cen MT"/>
                <w:i/>
                <w:sz w:val="18"/>
                <w:szCs w:val="18"/>
                <w:lang w:eastAsia="it-IT"/>
              </w:rPr>
              <w:t>i processi</w:t>
            </w:r>
            <w:r w:rsidRPr="00ED2B9E">
              <w:rPr>
                <w:rFonts w:ascii="Tw Cen MT" w:eastAsia="Times New Roman" w:hAnsi="Tw Cen MT"/>
                <w:i/>
                <w:sz w:val="18"/>
                <w:szCs w:val="18"/>
                <w:lang w:eastAsia="it-IT"/>
              </w:rPr>
              <w:t xml:space="preserve"> e </w:t>
            </w:r>
            <w:r w:rsidR="007F14C3">
              <w:rPr>
                <w:rFonts w:ascii="Tw Cen MT" w:eastAsia="Times New Roman" w:hAnsi="Tw Cen MT"/>
                <w:i/>
                <w:sz w:val="18"/>
                <w:szCs w:val="18"/>
                <w:lang w:eastAsia="it-IT"/>
              </w:rPr>
              <w:t>i flussi energetici ai fini</w:t>
            </w:r>
            <w:r w:rsidRPr="00ED2B9E">
              <w:rPr>
                <w:rFonts w:ascii="Tw Cen MT" w:eastAsia="Times New Roman" w:hAnsi="Tw Cen MT"/>
                <w:i/>
                <w:sz w:val="18"/>
                <w:szCs w:val="18"/>
                <w:lang w:eastAsia="it-IT"/>
              </w:rPr>
              <w:t xml:space="preserve"> </w:t>
            </w:r>
            <w:r w:rsidR="007F14C3">
              <w:rPr>
                <w:rFonts w:ascii="Tw Cen MT" w:eastAsia="Times New Roman" w:hAnsi="Tw Cen MT"/>
                <w:i/>
                <w:sz w:val="18"/>
                <w:szCs w:val="18"/>
                <w:lang w:eastAsia="it-IT"/>
              </w:rPr>
              <w:t>manutentivi, in ottica di efficienza e riduzione dei costi</w:t>
            </w:r>
          </w:p>
        </w:tc>
        <w:tc>
          <w:tcPr>
            <w:tcW w:w="2347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ED2B9E" w:rsidRPr="00336EE6" w:rsidTr="001B124B">
              <w:trPr>
                <w:jc w:val="center"/>
              </w:trPr>
              <w:tc>
                <w:tcPr>
                  <w:tcW w:w="913" w:type="dxa"/>
                </w:tcPr>
                <w:p w:rsidR="00ED2B9E" w:rsidRPr="00336EE6" w:rsidRDefault="00ED2B9E" w:rsidP="00ED2B9E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ED2B9E" w:rsidRPr="00336EE6" w:rsidRDefault="00ED2B9E" w:rsidP="00ED2B9E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ED2B9E" w:rsidRPr="00336EE6" w:rsidRDefault="00ED2B9E" w:rsidP="00ED2B9E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ED2B9E" w:rsidRPr="00336EE6" w:rsidRDefault="00ED2B9E" w:rsidP="00ED2B9E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6619B6" w:rsidRDefault="006619B6" w:rsidP="00336EE6">
            <w:pPr>
              <w:jc w:val="center"/>
              <w:rPr>
                <w:rFonts w:ascii="Tw Cen MT" w:hAnsi="Tw Cen MT" w:cstheme="minorHAnsi"/>
                <w:sz w:val="18"/>
                <w:szCs w:val="18"/>
              </w:rPr>
            </w:pPr>
          </w:p>
        </w:tc>
      </w:tr>
      <w:tr w:rsidR="00B96C33" w:rsidRPr="00BA0CE5" w:rsidTr="006619B6">
        <w:trPr>
          <w:trHeight w:val="451"/>
        </w:trPr>
        <w:tc>
          <w:tcPr>
            <w:tcW w:w="2653" w:type="pct"/>
            <w:shd w:val="clear" w:color="auto" w:fill="E7E6E6" w:themeFill="background2"/>
            <w:vAlign w:val="center"/>
          </w:tcPr>
          <w:p w:rsidR="00714BC0" w:rsidRDefault="00B96C33" w:rsidP="00714BC0">
            <w:pPr>
              <w:jc w:val="center"/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</w:pPr>
            <w:r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>TRANSIZIONE ENERGETICA</w:t>
            </w:r>
            <w:r w:rsidR="00714BC0"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 xml:space="preserve"> E </w:t>
            </w:r>
          </w:p>
          <w:p w:rsidR="00714BC0" w:rsidRPr="00ED2B9E" w:rsidRDefault="00714BC0" w:rsidP="00714BC0">
            <w:pPr>
              <w:jc w:val="center"/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</w:pPr>
            <w:r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  <w:t>GESTIONE DI FONTI ENERGETICHE ALTERNATIVE</w:t>
            </w:r>
          </w:p>
          <w:p w:rsidR="00B96C33" w:rsidRPr="009D1A32" w:rsidRDefault="00B96C33" w:rsidP="00794183">
            <w:pPr>
              <w:spacing w:after="60"/>
              <w:jc w:val="center"/>
              <w:rPr>
                <w:rFonts w:ascii="Tw Cen MT" w:eastAsia="Times New Roman" w:hAnsi="Tw Cen MT" w:cs="Arial"/>
                <w:b/>
                <w:color w:val="C00000"/>
                <w:kern w:val="36"/>
                <w:sz w:val="18"/>
                <w:szCs w:val="18"/>
                <w:lang w:eastAsia="it-IT"/>
              </w:rPr>
            </w:pPr>
            <w:r w:rsidRPr="009D1A32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Fornire</w:t>
            </w:r>
            <w:r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modelli per i</w:t>
            </w:r>
            <w:r w:rsidRPr="00B96C33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l passaggio dall’uso di fonti energetiche non rinnovabili (come carbone, petrolio, etc.) a fonti rinnovabili (energia solare, eolica, idroelettrica etc.)</w:t>
            </w:r>
            <w:r w:rsidR="00794183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;</w:t>
            </w:r>
            <w:r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conoscere i supporti e gli incentivi per le imprese, con particolare riferimento alle PMI</w:t>
            </w:r>
            <w:r w:rsidR="00886F6D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, a favore della transizione energetica</w:t>
            </w:r>
            <w:r w:rsidR="00714BC0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; </w:t>
            </w:r>
            <w:r w:rsidR="00794183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conoscere</w:t>
            </w:r>
            <w:r w:rsidR="00714BC0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modelli </w:t>
            </w:r>
            <w:proofErr w:type="spellStart"/>
            <w:r w:rsidR="00714BC0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>Industry</w:t>
            </w:r>
            <w:proofErr w:type="spellEnd"/>
            <w:r w:rsidR="00714BC0">
              <w:rPr>
                <w:rFonts w:ascii="Tw Cen MT" w:eastAsia="Times New Roman" w:hAnsi="Tw Cen MT" w:cs="Arial"/>
                <w:i/>
                <w:sz w:val="18"/>
                <w:szCs w:val="18"/>
                <w:lang w:eastAsia="it-IT"/>
              </w:rPr>
              <w:t xml:space="preserve"> 4.0 per la gestione ed integrazione di sistemi di approvvigionamento energetico da fonti non rinnovabili e rinnovabili </w:t>
            </w:r>
          </w:p>
        </w:tc>
        <w:tc>
          <w:tcPr>
            <w:tcW w:w="2347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B96C33" w:rsidRPr="00336EE6" w:rsidTr="00A23A5E">
              <w:trPr>
                <w:jc w:val="center"/>
              </w:trPr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96C33" w:rsidRDefault="00B96C33" w:rsidP="00B96C33">
            <w:pPr>
              <w:jc w:val="center"/>
              <w:rPr>
                <w:rFonts w:ascii="Tw Cen MT" w:hAnsi="Tw Cen MT" w:cstheme="minorHAnsi"/>
                <w:sz w:val="18"/>
                <w:szCs w:val="18"/>
              </w:rPr>
            </w:pPr>
          </w:p>
        </w:tc>
      </w:tr>
      <w:tr w:rsidR="00B96C33" w:rsidRPr="00BA0CE5" w:rsidTr="006619B6">
        <w:trPr>
          <w:trHeight w:val="454"/>
        </w:trPr>
        <w:tc>
          <w:tcPr>
            <w:tcW w:w="2653" w:type="pct"/>
            <w:shd w:val="clear" w:color="auto" w:fill="E7E6E6" w:themeFill="background2"/>
            <w:vAlign w:val="center"/>
          </w:tcPr>
          <w:p w:rsidR="00B96C33" w:rsidRPr="00F54ABE" w:rsidRDefault="00B96C33" w:rsidP="00B96C33">
            <w:pPr>
              <w:rPr>
                <w:rFonts w:ascii="Tw Cen MT" w:eastAsiaTheme="majorEastAsia" w:hAnsi="Tw Cen MT" w:cstheme="minorHAnsi"/>
              </w:rPr>
            </w:pPr>
            <w:r w:rsidRPr="00F54ABE">
              <w:rPr>
                <w:rFonts w:ascii="Tw Cen MT" w:eastAsiaTheme="majorEastAsia" w:hAnsi="Tw Cen MT" w:cstheme="minorHAnsi"/>
              </w:rPr>
              <w:t>Altro (</w:t>
            </w:r>
            <w:proofErr w:type="gramStart"/>
            <w:r w:rsidRPr="00F54ABE">
              <w:rPr>
                <w:rFonts w:ascii="Tw Cen MT" w:eastAsiaTheme="majorEastAsia" w:hAnsi="Tw Cen MT" w:cstheme="minorHAnsi"/>
              </w:rPr>
              <w:t>specificare….</w:t>
            </w:r>
            <w:proofErr w:type="gramEnd"/>
            <w:r w:rsidRPr="00F54ABE">
              <w:rPr>
                <w:rFonts w:ascii="Tw Cen MT" w:eastAsiaTheme="majorEastAsia" w:hAnsi="Tw Cen MT" w:cstheme="minorHAnsi"/>
              </w:rPr>
              <w:t>)</w:t>
            </w:r>
          </w:p>
        </w:tc>
        <w:tc>
          <w:tcPr>
            <w:tcW w:w="2347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B96C33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96C33" w:rsidRPr="00BA0CE5" w:rsidRDefault="00B96C33" w:rsidP="00B96C33">
            <w:pPr>
              <w:jc w:val="center"/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  <w:tr w:rsidR="00B96C33" w:rsidRPr="00BA0CE5" w:rsidTr="006619B6">
        <w:trPr>
          <w:trHeight w:val="454"/>
        </w:trPr>
        <w:tc>
          <w:tcPr>
            <w:tcW w:w="2653" w:type="pct"/>
            <w:shd w:val="clear" w:color="auto" w:fill="E7E6E6" w:themeFill="background2"/>
            <w:vAlign w:val="center"/>
          </w:tcPr>
          <w:p w:rsidR="00B96C33" w:rsidRPr="00F54ABE" w:rsidRDefault="00B96C33" w:rsidP="00B96C33">
            <w:pPr>
              <w:rPr>
                <w:rFonts w:ascii="Tw Cen MT" w:eastAsiaTheme="majorEastAsia" w:hAnsi="Tw Cen MT" w:cstheme="minorHAnsi"/>
              </w:rPr>
            </w:pPr>
            <w:r w:rsidRPr="00F54ABE">
              <w:rPr>
                <w:rFonts w:ascii="Tw Cen MT" w:eastAsiaTheme="majorEastAsia" w:hAnsi="Tw Cen MT" w:cstheme="minorHAnsi"/>
              </w:rPr>
              <w:t>Altro (</w:t>
            </w:r>
            <w:proofErr w:type="gramStart"/>
            <w:r w:rsidRPr="00F54ABE">
              <w:rPr>
                <w:rFonts w:ascii="Tw Cen MT" w:eastAsiaTheme="majorEastAsia" w:hAnsi="Tw Cen MT" w:cstheme="minorHAnsi"/>
              </w:rPr>
              <w:t>specificare….</w:t>
            </w:r>
            <w:proofErr w:type="gramEnd"/>
            <w:r w:rsidRPr="00F54ABE">
              <w:rPr>
                <w:rFonts w:ascii="Tw Cen MT" w:eastAsiaTheme="majorEastAsia" w:hAnsi="Tw Cen MT" w:cstheme="minorHAnsi"/>
              </w:rPr>
              <w:t>)</w:t>
            </w:r>
          </w:p>
        </w:tc>
        <w:tc>
          <w:tcPr>
            <w:tcW w:w="2347" w:type="pct"/>
            <w:vAlign w:val="center"/>
          </w:tcPr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3"/>
              <w:gridCol w:w="913"/>
              <w:gridCol w:w="913"/>
              <w:gridCol w:w="913"/>
            </w:tblGrid>
            <w:tr w:rsidR="00B96C33" w:rsidRPr="00336EE6" w:rsidTr="00877E3E">
              <w:trPr>
                <w:jc w:val="center"/>
              </w:trPr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1 </w:t>
                  </w: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nessuno</w:t>
                  </w:r>
                </w:p>
              </w:tc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 w:rsidRPr="00336EE6">
                    <w:rPr>
                      <w:rFonts w:ascii="Tw Cen MT" w:hAnsi="Tw Cen MT" w:cstheme="minorHAnsi"/>
                      <w:sz w:val="18"/>
                      <w:szCs w:val="18"/>
                    </w:rPr>
                    <w:t>2</w:t>
                  </w: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 xml:space="preserve"> scarso</w:t>
                  </w:r>
                </w:p>
              </w:tc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3 medio</w:t>
                  </w:r>
                </w:p>
              </w:tc>
              <w:tc>
                <w:tcPr>
                  <w:tcW w:w="913" w:type="dxa"/>
                </w:tcPr>
                <w:p w:rsidR="00B96C33" w:rsidRPr="00336EE6" w:rsidRDefault="00B96C33" w:rsidP="00B96C33">
                  <w:pPr>
                    <w:jc w:val="center"/>
                    <w:rPr>
                      <w:rFonts w:ascii="Tw Cen MT" w:hAnsi="Tw Cen MT" w:cstheme="minorHAnsi"/>
                      <w:sz w:val="18"/>
                      <w:szCs w:val="18"/>
                    </w:rPr>
                  </w:pPr>
                  <w:r>
                    <w:rPr>
                      <w:rFonts w:ascii="Tw Cen MT" w:hAnsi="Tw Cen MT" w:cstheme="minorHAnsi"/>
                      <w:sz w:val="18"/>
                      <w:szCs w:val="18"/>
                    </w:rPr>
                    <w:t>4 elevato</w:t>
                  </w:r>
                </w:p>
              </w:tc>
            </w:tr>
          </w:tbl>
          <w:p w:rsidR="00B96C33" w:rsidRPr="00BA0CE5" w:rsidRDefault="00B96C33" w:rsidP="00B96C33">
            <w:pPr>
              <w:jc w:val="center"/>
              <w:rPr>
                <w:rFonts w:ascii="Tw Cen MT" w:hAnsi="Tw Cen MT" w:cstheme="minorHAnsi"/>
                <w:sz w:val="20"/>
                <w:szCs w:val="20"/>
                <w:highlight w:val="yellow"/>
              </w:rPr>
            </w:pPr>
          </w:p>
        </w:tc>
      </w:tr>
    </w:tbl>
    <w:p w:rsidR="003E4EFF" w:rsidRDefault="003E4EFF" w:rsidP="00F54ABE">
      <w:pPr>
        <w:spacing w:after="0"/>
      </w:pPr>
    </w:p>
    <w:tbl>
      <w:tblPr>
        <w:tblStyle w:val="Grigliatabellachiara"/>
        <w:tblW w:w="5000" w:type="pct"/>
        <w:tblLook w:val="04A0" w:firstRow="1" w:lastRow="0" w:firstColumn="1" w:lastColumn="0" w:noHBand="0" w:noVBand="1"/>
      </w:tblPr>
      <w:tblGrid>
        <w:gridCol w:w="2553"/>
        <w:gridCol w:w="7075"/>
      </w:tblGrid>
      <w:tr w:rsidR="00F54ABE" w:rsidRPr="00BA0CE5" w:rsidTr="00CF7F51">
        <w:trPr>
          <w:trHeight w:val="567"/>
        </w:trPr>
        <w:tc>
          <w:tcPr>
            <w:tcW w:w="5000" w:type="pct"/>
            <w:gridSpan w:val="2"/>
            <w:shd w:val="clear" w:color="auto" w:fill="FFF2CC" w:themeFill="accent4" w:themeFillTint="33"/>
            <w:vAlign w:val="center"/>
            <w:hideMark/>
          </w:tcPr>
          <w:p w:rsidR="00F54ABE" w:rsidRPr="00E57D39" w:rsidRDefault="00F54ABE" w:rsidP="0077272B">
            <w:pPr>
              <w:jc w:val="center"/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</w:pPr>
            <w:r w:rsidRPr="00E57D39">
              <w:rPr>
                <w:rFonts w:ascii="Tw Cen MT" w:eastAsiaTheme="majorEastAsia" w:hAnsi="Tw Cen MT" w:cstheme="minorHAnsi"/>
                <w:b/>
                <w:bCs/>
                <w:sz w:val="24"/>
                <w:szCs w:val="24"/>
              </w:rPr>
              <w:t>Dati Aziendali</w:t>
            </w:r>
          </w:p>
        </w:tc>
      </w:tr>
      <w:tr w:rsidR="00F54ABE" w:rsidRPr="00BA0CE5" w:rsidTr="00CF7F51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F54ABE" w:rsidRPr="00E57D39" w:rsidRDefault="00F54ABE" w:rsidP="0077272B">
            <w:pPr>
              <w:rPr>
                <w:rFonts w:ascii="Tw Cen MT" w:eastAsiaTheme="majorEastAsia" w:hAnsi="Tw Cen MT" w:cstheme="minorHAnsi"/>
              </w:rPr>
            </w:pPr>
            <w:r w:rsidRPr="00E57D39">
              <w:rPr>
                <w:rFonts w:ascii="Tw Cen MT" w:eastAsiaTheme="majorEastAsia" w:hAnsi="Tw Cen MT" w:cstheme="minorHAnsi"/>
              </w:rPr>
              <w:t>Azienda</w:t>
            </w:r>
          </w:p>
        </w:tc>
        <w:tc>
          <w:tcPr>
            <w:tcW w:w="3674" w:type="pct"/>
            <w:vAlign w:val="center"/>
          </w:tcPr>
          <w:p w:rsidR="00F54ABE" w:rsidRPr="00E57D39" w:rsidRDefault="00F54ABE" w:rsidP="00F54ABE">
            <w:pPr>
              <w:rPr>
                <w:rFonts w:ascii="Tw Cen MT" w:hAnsi="Tw Cen MT" w:cstheme="minorHAnsi"/>
                <w:sz w:val="20"/>
                <w:szCs w:val="20"/>
              </w:rPr>
            </w:pPr>
          </w:p>
        </w:tc>
      </w:tr>
      <w:tr w:rsidR="00B234E6" w:rsidRPr="00BA0CE5" w:rsidTr="00CF7F51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B234E6" w:rsidRPr="00E57D39" w:rsidRDefault="00B234E6" w:rsidP="0077272B">
            <w:pPr>
              <w:rPr>
                <w:rFonts w:ascii="Tw Cen MT" w:eastAsiaTheme="majorEastAsia" w:hAnsi="Tw Cen MT" w:cstheme="minorHAnsi"/>
              </w:rPr>
            </w:pPr>
            <w:r w:rsidRPr="00E57D39">
              <w:rPr>
                <w:rFonts w:ascii="Tw Cen MT" w:eastAsiaTheme="majorEastAsia" w:hAnsi="Tw Cen MT" w:cstheme="minorHAnsi"/>
              </w:rPr>
              <w:t>Codice ATECO</w:t>
            </w:r>
          </w:p>
        </w:tc>
        <w:tc>
          <w:tcPr>
            <w:tcW w:w="3674" w:type="pct"/>
            <w:vAlign w:val="center"/>
          </w:tcPr>
          <w:p w:rsidR="00B234E6" w:rsidRPr="00E57D39" w:rsidRDefault="00B234E6" w:rsidP="00F54ABE">
            <w:pPr>
              <w:rPr>
                <w:rFonts w:ascii="Tw Cen MT" w:hAnsi="Tw Cen MT" w:cstheme="minorHAnsi"/>
                <w:sz w:val="20"/>
                <w:szCs w:val="20"/>
              </w:rPr>
            </w:pPr>
          </w:p>
        </w:tc>
      </w:tr>
      <w:tr w:rsidR="00F54ABE" w:rsidRPr="00BA0CE5" w:rsidTr="00CF7F51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F54ABE" w:rsidRPr="00E57D39" w:rsidRDefault="00F54ABE" w:rsidP="0077272B">
            <w:pPr>
              <w:rPr>
                <w:rFonts w:ascii="Tw Cen MT" w:eastAsiaTheme="majorEastAsia" w:hAnsi="Tw Cen MT" w:cstheme="minorHAnsi"/>
              </w:rPr>
            </w:pPr>
            <w:r w:rsidRPr="00E57D39">
              <w:rPr>
                <w:rFonts w:ascii="Tw Cen MT" w:eastAsiaTheme="majorEastAsia" w:hAnsi="Tw Cen MT" w:cstheme="minorHAnsi"/>
              </w:rPr>
              <w:t>Nominativo Referente</w:t>
            </w:r>
          </w:p>
        </w:tc>
        <w:tc>
          <w:tcPr>
            <w:tcW w:w="3674" w:type="pct"/>
            <w:vAlign w:val="center"/>
          </w:tcPr>
          <w:p w:rsidR="00F54ABE" w:rsidRPr="00E57D39" w:rsidRDefault="00F54ABE" w:rsidP="00F54ABE">
            <w:pPr>
              <w:rPr>
                <w:rFonts w:ascii="Tw Cen MT" w:hAnsi="Tw Cen MT" w:cstheme="minorHAnsi"/>
                <w:sz w:val="20"/>
                <w:szCs w:val="20"/>
              </w:rPr>
            </w:pPr>
          </w:p>
        </w:tc>
      </w:tr>
      <w:tr w:rsidR="00F54ABE" w:rsidRPr="00BA0CE5" w:rsidTr="00CF7F51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F54ABE" w:rsidRPr="00E57D39" w:rsidRDefault="00F54ABE" w:rsidP="0077272B">
            <w:pPr>
              <w:rPr>
                <w:rFonts w:ascii="Tw Cen MT" w:eastAsiaTheme="majorEastAsia" w:hAnsi="Tw Cen MT" w:cstheme="minorHAnsi"/>
              </w:rPr>
            </w:pPr>
            <w:r w:rsidRPr="00E57D39">
              <w:rPr>
                <w:rFonts w:ascii="Tw Cen MT" w:eastAsiaTheme="majorEastAsia" w:hAnsi="Tw Cen MT" w:cstheme="minorHAnsi"/>
              </w:rPr>
              <w:t>E-mail</w:t>
            </w:r>
          </w:p>
        </w:tc>
        <w:tc>
          <w:tcPr>
            <w:tcW w:w="3674" w:type="pct"/>
            <w:vAlign w:val="center"/>
          </w:tcPr>
          <w:p w:rsidR="00F54ABE" w:rsidRPr="00E57D39" w:rsidRDefault="00F54ABE" w:rsidP="00F54ABE">
            <w:pPr>
              <w:rPr>
                <w:rFonts w:ascii="Tw Cen MT" w:hAnsi="Tw Cen MT" w:cstheme="minorHAnsi"/>
                <w:sz w:val="20"/>
                <w:szCs w:val="20"/>
              </w:rPr>
            </w:pPr>
          </w:p>
        </w:tc>
      </w:tr>
      <w:tr w:rsidR="00F54ABE" w:rsidRPr="00BA0CE5" w:rsidTr="00CF7F51">
        <w:trPr>
          <w:trHeight w:val="397"/>
        </w:trPr>
        <w:tc>
          <w:tcPr>
            <w:tcW w:w="1326" w:type="pct"/>
            <w:shd w:val="clear" w:color="auto" w:fill="E7E6E6" w:themeFill="background2"/>
            <w:vAlign w:val="center"/>
          </w:tcPr>
          <w:p w:rsidR="00F54ABE" w:rsidRPr="00E57D39" w:rsidRDefault="00F54ABE" w:rsidP="0077272B">
            <w:pPr>
              <w:rPr>
                <w:rFonts w:ascii="Tw Cen MT" w:eastAsiaTheme="majorEastAsia" w:hAnsi="Tw Cen MT" w:cstheme="minorHAnsi"/>
              </w:rPr>
            </w:pPr>
            <w:r w:rsidRPr="00E57D39">
              <w:rPr>
                <w:rFonts w:ascii="Tw Cen MT" w:eastAsiaTheme="majorEastAsia" w:hAnsi="Tw Cen MT" w:cstheme="minorHAnsi"/>
              </w:rPr>
              <w:t>Telefono</w:t>
            </w:r>
          </w:p>
        </w:tc>
        <w:tc>
          <w:tcPr>
            <w:tcW w:w="3674" w:type="pct"/>
            <w:vAlign w:val="center"/>
          </w:tcPr>
          <w:p w:rsidR="00F54ABE" w:rsidRPr="00E57D39" w:rsidRDefault="00F54ABE" w:rsidP="00F54ABE">
            <w:pPr>
              <w:rPr>
                <w:rFonts w:ascii="Tw Cen MT" w:hAnsi="Tw Cen MT" w:cstheme="minorHAnsi"/>
                <w:sz w:val="20"/>
                <w:szCs w:val="20"/>
              </w:rPr>
            </w:pPr>
          </w:p>
        </w:tc>
      </w:tr>
    </w:tbl>
    <w:p w:rsidR="00F54ABE" w:rsidRDefault="00F54ABE"/>
    <w:sectPr w:rsidR="00F54ABE" w:rsidSect="00F43081">
      <w:headerReference w:type="default" r:id="rId9"/>
      <w:footerReference w:type="default" r:id="rId10"/>
      <w:pgSz w:w="11906" w:h="16838"/>
      <w:pgMar w:top="1134" w:right="1134" w:bottom="709" w:left="1134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B68" w:rsidRDefault="009F1B68" w:rsidP="006845A9">
      <w:pPr>
        <w:spacing w:after="0" w:line="240" w:lineRule="auto"/>
      </w:pPr>
      <w:r>
        <w:separator/>
      </w:r>
    </w:p>
  </w:endnote>
  <w:endnote w:type="continuationSeparator" w:id="0">
    <w:p w:rsidR="009F1B68" w:rsidRDefault="009F1B68" w:rsidP="0068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032"/>
      <w:gridCol w:w="2246"/>
      <w:gridCol w:w="2375"/>
    </w:tblGrid>
    <w:tr w:rsidR="00DC331D" w:rsidRPr="00DC331D" w:rsidTr="00DC331D">
      <w:tc>
        <w:tcPr>
          <w:tcW w:w="1985" w:type="dxa"/>
        </w:tcPr>
        <w:p w:rsidR="00F54ABE" w:rsidRDefault="00F54ABE" w:rsidP="00F54ABE">
          <w:pPr>
            <w:pStyle w:val="Pidipagina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23E93B47" wp14:editId="4593DB40">
                <wp:simplePos x="0" y="0"/>
                <wp:positionH relativeFrom="column">
                  <wp:posOffset>46355</wp:posOffset>
                </wp:positionH>
                <wp:positionV relativeFrom="paragraph">
                  <wp:posOffset>84455</wp:posOffset>
                </wp:positionV>
                <wp:extent cx="921600" cy="432000"/>
                <wp:effectExtent l="0" t="0" r="0" b="6350"/>
                <wp:wrapNone/>
                <wp:docPr id="7" name="Immagine 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6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32" w:type="dxa"/>
        </w:tcPr>
        <w:p w:rsidR="00DC331D" w:rsidRPr="00DC331D" w:rsidRDefault="00EC7FD7" w:rsidP="00DC331D">
          <w:pPr>
            <w:rPr>
              <w:rFonts w:ascii="Tw Cen MT Condensed" w:hAnsi="Tw Cen MT Condensed"/>
              <w:sz w:val="20"/>
              <w:szCs w:val="20"/>
            </w:rPr>
          </w:pPr>
          <w:r>
            <w:rPr>
              <w:rFonts w:ascii="Tw Cen MT Condensed" w:hAnsi="Tw Cen MT Condensed"/>
              <w:sz w:val="20"/>
              <w:szCs w:val="20"/>
            </w:rPr>
            <w:t>Dott.ssa Annamaria Patella</w:t>
          </w:r>
        </w:p>
        <w:p w:rsidR="00DC331D" w:rsidRDefault="00DC331D" w:rsidP="00DC331D">
          <w:pPr>
            <w:pStyle w:val="Pidipagina"/>
            <w:rPr>
              <w:rFonts w:ascii="Tw Cen MT Condensed" w:hAnsi="Tw Cen MT Condensed"/>
              <w:sz w:val="20"/>
              <w:szCs w:val="20"/>
            </w:rPr>
          </w:pPr>
          <w:proofErr w:type="spellStart"/>
          <w:r w:rsidRPr="00DC331D">
            <w:rPr>
              <w:rFonts w:ascii="Tw Cen MT Condensed" w:hAnsi="Tw Cen MT Condensed"/>
              <w:sz w:val="20"/>
              <w:szCs w:val="20"/>
            </w:rPr>
            <w:t>Tel</w:t>
          </w:r>
          <w:proofErr w:type="spellEnd"/>
          <w:r w:rsidRPr="00DC331D">
            <w:rPr>
              <w:rFonts w:ascii="Tw Cen MT Condensed" w:hAnsi="Tw Cen MT Condensed"/>
              <w:sz w:val="20"/>
              <w:szCs w:val="20"/>
            </w:rPr>
            <w:t>: 080 9262374</w:t>
          </w:r>
        </w:p>
        <w:p w:rsidR="00DC331D" w:rsidRPr="00DC331D" w:rsidRDefault="00EC7FD7" w:rsidP="00DC331D">
          <w:pPr>
            <w:rPr>
              <w:rFonts w:ascii="Tw Cen MT Condensed" w:hAnsi="Tw Cen MT Condensed"/>
              <w:sz w:val="20"/>
              <w:szCs w:val="20"/>
            </w:rPr>
          </w:pPr>
          <w:r>
            <w:rPr>
              <w:rFonts w:ascii="Tw Cen MT Condensed" w:hAnsi="Tw Cen MT Condensed"/>
              <w:sz w:val="20"/>
              <w:szCs w:val="20"/>
            </w:rPr>
            <w:t>a.patella@itsmeccatronicapuglia.it</w:t>
          </w:r>
        </w:p>
        <w:p w:rsidR="00DC331D" w:rsidRDefault="00DC331D" w:rsidP="00DC331D">
          <w:pPr>
            <w:pStyle w:val="Pidipagina"/>
          </w:pPr>
          <w:r>
            <w:rPr>
              <w:rFonts w:ascii="Tw Cen MT Condensed" w:hAnsi="Tw Cen MT Condensed"/>
              <w:sz w:val="20"/>
              <w:szCs w:val="20"/>
            </w:rPr>
            <w:t>www.itsmeccatronicapuglia.it</w:t>
          </w:r>
        </w:p>
      </w:tc>
      <w:tc>
        <w:tcPr>
          <w:tcW w:w="2246" w:type="dxa"/>
        </w:tcPr>
        <w:p w:rsidR="00F54ABE" w:rsidRDefault="00F54ABE">
          <w:pPr>
            <w:pStyle w:val="Pidipagina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674CBBB8" wp14:editId="05CA7F5A">
                <wp:simplePos x="0" y="0"/>
                <wp:positionH relativeFrom="column">
                  <wp:posOffset>18415</wp:posOffset>
                </wp:positionH>
                <wp:positionV relativeFrom="paragraph">
                  <wp:posOffset>65405</wp:posOffset>
                </wp:positionV>
                <wp:extent cx="1249200" cy="432000"/>
                <wp:effectExtent l="0" t="0" r="8255" b="6350"/>
                <wp:wrapNone/>
                <wp:docPr id="8" name="Immagine 8" descr="Società di servizi di Confindustria Bari B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ocietà di servizi di Confindustria Bari B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2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75" w:type="dxa"/>
        </w:tcPr>
        <w:p w:rsidR="00DC331D" w:rsidRPr="00DC331D" w:rsidRDefault="00DC331D" w:rsidP="00DC331D">
          <w:pPr>
            <w:pStyle w:val="Pidipagina"/>
            <w:rPr>
              <w:rFonts w:ascii="Tw Cen MT Condensed" w:hAnsi="Tw Cen MT Condensed"/>
              <w:sz w:val="20"/>
              <w:szCs w:val="20"/>
            </w:rPr>
          </w:pPr>
          <w:r>
            <w:rPr>
              <w:rFonts w:ascii="Tw Cen MT Condensed" w:hAnsi="Tw Cen MT Condensed"/>
              <w:sz w:val="20"/>
              <w:szCs w:val="20"/>
            </w:rPr>
            <w:t>Dott.ssa Anita Capraro</w:t>
          </w:r>
        </w:p>
        <w:p w:rsidR="00DC331D" w:rsidRPr="00B234E6" w:rsidRDefault="00DC331D" w:rsidP="00DC331D">
          <w:pPr>
            <w:pStyle w:val="Pidipagina"/>
            <w:rPr>
              <w:rFonts w:ascii="Tw Cen MT Condensed" w:hAnsi="Tw Cen MT Condensed"/>
              <w:sz w:val="20"/>
              <w:szCs w:val="20"/>
            </w:rPr>
          </w:pPr>
          <w:r w:rsidRPr="00B234E6">
            <w:rPr>
              <w:rFonts w:ascii="Tw Cen MT Condensed" w:hAnsi="Tw Cen MT Condensed"/>
              <w:sz w:val="20"/>
              <w:szCs w:val="20"/>
            </w:rPr>
            <w:t>Tel: 080 5467740</w:t>
          </w:r>
        </w:p>
        <w:p w:rsidR="00DC331D" w:rsidRPr="00B234E6" w:rsidRDefault="009F1B68" w:rsidP="00DC331D">
          <w:pPr>
            <w:pStyle w:val="Pidipagina"/>
            <w:rPr>
              <w:rFonts w:ascii="Tw Cen MT Condensed" w:hAnsi="Tw Cen MT Condensed"/>
              <w:sz w:val="20"/>
              <w:szCs w:val="20"/>
            </w:rPr>
          </w:pPr>
          <w:hyperlink r:id="rId3" w:history="1">
            <w:r w:rsidR="00DC331D" w:rsidRPr="00B234E6">
              <w:rPr>
                <w:rFonts w:ascii="Tw Cen MT Condensed" w:hAnsi="Tw Cen MT Condensed"/>
                <w:sz w:val="20"/>
                <w:szCs w:val="20"/>
              </w:rPr>
              <w:t>capraro@assoservice.bari.it</w:t>
            </w:r>
          </w:hyperlink>
        </w:p>
        <w:p w:rsidR="00DC331D" w:rsidRPr="00B234E6" w:rsidRDefault="009F1B68" w:rsidP="00DC331D">
          <w:pPr>
            <w:pStyle w:val="Pidipagina"/>
          </w:pPr>
          <w:hyperlink r:id="rId4" w:history="1">
            <w:r w:rsidR="00DC331D" w:rsidRPr="00B234E6">
              <w:rPr>
                <w:rFonts w:ascii="Tw Cen MT Condensed" w:hAnsi="Tw Cen MT Condensed"/>
                <w:sz w:val="20"/>
                <w:szCs w:val="20"/>
              </w:rPr>
              <w:t>www.assoservice.bari.it</w:t>
            </w:r>
          </w:hyperlink>
        </w:p>
      </w:tc>
    </w:tr>
  </w:tbl>
  <w:p w:rsidR="00F54ABE" w:rsidRPr="00B234E6" w:rsidRDefault="00F54A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B68" w:rsidRDefault="009F1B68" w:rsidP="006845A9">
      <w:pPr>
        <w:spacing w:after="0" w:line="240" w:lineRule="auto"/>
      </w:pPr>
      <w:r>
        <w:separator/>
      </w:r>
    </w:p>
  </w:footnote>
  <w:footnote w:type="continuationSeparator" w:id="0">
    <w:p w:rsidR="009F1B68" w:rsidRDefault="009F1B68" w:rsidP="0068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850"/>
    </w:tblGrid>
    <w:tr w:rsidR="00F54ABE" w:rsidTr="0077272B">
      <w:tc>
        <w:tcPr>
          <w:tcW w:w="4927" w:type="dxa"/>
        </w:tcPr>
        <w:p w:rsidR="00F54ABE" w:rsidRDefault="00F54ABE" w:rsidP="00F54ABE">
          <w:pPr>
            <w:pStyle w:val="Intestazione"/>
            <w:tabs>
              <w:tab w:val="clear" w:pos="4819"/>
              <w:tab w:val="clear" w:pos="9638"/>
              <w:tab w:val="left" w:pos="6760"/>
            </w:tabs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8BD4C00" wp14:editId="41198B45">
                <wp:simplePos x="0" y="0"/>
                <wp:positionH relativeFrom="column">
                  <wp:posOffset>265430</wp:posOffset>
                </wp:positionH>
                <wp:positionV relativeFrom="paragraph">
                  <wp:posOffset>135890</wp:posOffset>
                </wp:positionV>
                <wp:extent cx="1327150" cy="622300"/>
                <wp:effectExtent l="19050" t="0" r="6350" b="0"/>
                <wp:wrapSquare wrapText="bothSides"/>
                <wp:docPr id="5" name="Immagine 5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27" w:type="dxa"/>
        </w:tcPr>
        <w:p w:rsidR="00F54ABE" w:rsidRDefault="00F54ABE" w:rsidP="00F54ABE">
          <w:pPr>
            <w:pStyle w:val="Intestazione"/>
            <w:tabs>
              <w:tab w:val="clear" w:pos="4819"/>
              <w:tab w:val="clear" w:pos="9638"/>
              <w:tab w:val="left" w:pos="6760"/>
            </w:tabs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C00A5CB" wp14:editId="0FE51A6A">
                <wp:simplePos x="0" y="0"/>
                <wp:positionH relativeFrom="column">
                  <wp:posOffset>799465</wp:posOffset>
                </wp:positionH>
                <wp:positionV relativeFrom="paragraph">
                  <wp:posOffset>2540</wp:posOffset>
                </wp:positionV>
                <wp:extent cx="2076450" cy="717550"/>
                <wp:effectExtent l="0" t="0" r="0" b="0"/>
                <wp:wrapSquare wrapText="bothSides"/>
                <wp:docPr id="6" name="Immagine 6" descr="Società di servizi di Confindustria Bari B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ocietà di servizi di Confindustria Bari B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54ABE" w:rsidRDefault="00F54ABE" w:rsidP="00F54ABE">
    <w:pPr>
      <w:pStyle w:val="Intestazione"/>
      <w:tabs>
        <w:tab w:val="clear" w:pos="4819"/>
        <w:tab w:val="clear" w:pos="9638"/>
        <w:tab w:val="left" w:pos="6760"/>
      </w:tabs>
      <w:jc w:val="center"/>
    </w:pPr>
    <w:r>
      <w:t>_______________________________________________________________________________________</w:t>
    </w:r>
  </w:p>
  <w:p w:rsidR="00F54ABE" w:rsidRDefault="00F54A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47A3"/>
    <w:multiLevelType w:val="hybridMultilevel"/>
    <w:tmpl w:val="0546AF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B0376"/>
    <w:multiLevelType w:val="multilevel"/>
    <w:tmpl w:val="CBB0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0098E"/>
    <w:multiLevelType w:val="hybridMultilevel"/>
    <w:tmpl w:val="658873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B0F2D"/>
    <w:multiLevelType w:val="hybridMultilevel"/>
    <w:tmpl w:val="B9EC30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35588"/>
    <w:multiLevelType w:val="multilevel"/>
    <w:tmpl w:val="347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45BB7"/>
    <w:multiLevelType w:val="hybridMultilevel"/>
    <w:tmpl w:val="2328F95C"/>
    <w:lvl w:ilvl="0" w:tplc="5B6EE502"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51342"/>
    <w:multiLevelType w:val="multilevel"/>
    <w:tmpl w:val="070E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D203D"/>
    <w:multiLevelType w:val="multilevel"/>
    <w:tmpl w:val="F1C8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E"/>
    <w:rsid w:val="00003FBF"/>
    <w:rsid w:val="000242EA"/>
    <w:rsid w:val="000454EA"/>
    <w:rsid w:val="0008086F"/>
    <w:rsid w:val="000A14DB"/>
    <w:rsid w:val="000D25FB"/>
    <w:rsid w:val="000D5225"/>
    <w:rsid w:val="000F6034"/>
    <w:rsid w:val="00183A77"/>
    <w:rsid w:val="001A3EC3"/>
    <w:rsid w:val="001F0B87"/>
    <w:rsid w:val="002159F7"/>
    <w:rsid w:val="0022344F"/>
    <w:rsid w:val="00242DCB"/>
    <w:rsid w:val="00297015"/>
    <w:rsid w:val="002A5018"/>
    <w:rsid w:val="002D6E78"/>
    <w:rsid w:val="003212B0"/>
    <w:rsid w:val="00327E62"/>
    <w:rsid w:val="00336EE6"/>
    <w:rsid w:val="0039410C"/>
    <w:rsid w:val="003C6C01"/>
    <w:rsid w:val="003E0FED"/>
    <w:rsid w:val="003E3B36"/>
    <w:rsid w:val="003E4EFF"/>
    <w:rsid w:val="003E78B9"/>
    <w:rsid w:val="00400746"/>
    <w:rsid w:val="00406A96"/>
    <w:rsid w:val="00466D97"/>
    <w:rsid w:val="004A78A1"/>
    <w:rsid w:val="004C45A2"/>
    <w:rsid w:val="004F6617"/>
    <w:rsid w:val="004F771A"/>
    <w:rsid w:val="00515DE1"/>
    <w:rsid w:val="0054688E"/>
    <w:rsid w:val="00591A4D"/>
    <w:rsid w:val="005C1FE4"/>
    <w:rsid w:val="005D0171"/>
    <w:rsid w:val="005E06D4"/>
    <w:rsid w:val="006134F8"/>
    <w:rsid w:val="006619B6"/>
    <w:rsid w:val="0067493F"/>
    <w:rsid w:val="006845A9"/>
    <w:rsid w:val="00692890"/>
    <w:rsid w:val="00695DF4"/>
    <w:rsid w:val="006A5C65"/>
    <w:rsid w:val="006D6BDD"/>
    <w:rsid w:val="006E033B"/>
    <w:rsid w:val="006F77EE"/>
    <w:rsid w:val="00714BC0"/>
    <w:rsid w:val="00720CA0"/>
    <w:rsid w:val="00794183"/>
    <w:rsid w:val="007B4176"/>
    <w:rsid w:val="007D5A36"/>
    <w:rsid w:val="007E5695"/>
    <w:rsid w:val="007F14C3"/>
    <w:rsid w:val="0080246F"/>
    <w:rsid w:val="00886F6D"/>
    <w:rsid w:val="00894823"/>
    <w:rsid w:val="008C0FEE"/>
    <w:rsid w:val="008C4082"/>
    <w:rsid w:val="008F1191"/>
    <w:rsid w:val="008F7CA4"/>
    <w:rsid w:val="00925015"/>
    <w:rsid w:val="009450ED"/>
    <w:rsid w:val="00947889"/>
    <w:rsid w:val="00962160"/>
    <w:rsid w:val="00967008"/>
    <w:rsid w:val="009A4781"/>
    <w:rsid w:val="009B419F"/>
    <w:rsid w:val="009D17F7"/>
    <w:rsid w:val="009D1A32"/>
    <w:rsid w:val="009F1B68"/>
    <w:rsid w:val="00A26491"/>
    <w:rsid w:val="00A565A9"/>
    <w:rsid w:val="00A93043"/>
    <w:rsid w:val="00A9786F"/>
    <w:rsid w:val="00A97B68"/>
    <w:rsid w:val="00AC7F7B"/>
    <w:rsid w:val="00B0146A"/>
    <w:rsid w:val="00B234E6"/>
    <w:rsid w:val="00B56D17"/>
    <w:rsid w:val="00B70DD1"/>
    <w:rsid w:val="00B724AF"/>
    <w:rsid w:val="00B76261"/>
    <w:rsid w:val="00B83C69"/>
    <w:rsid w:val="00B91163"/>
    <w:rsid w:val="00B92128"/>
    <w:rsid w:val="00B9699E"/>
    <w:rsid w:val="00B96C33"/>
    <w:rsid w:val="00BA0CE5"/>
    <w:rsid w:val="00BE36AF"/>
    <w:rsid w:val="00BF338C"/>
    <w:rsid w:val="00BF497B"/>
    <w:rsid w:val="00C06664"/>
    <w:rsid w:val="00C07AD9"/>
    <w:rsid w:val="00C128B2"/>
    <w:rsid w:val="00C51BE9"/>
    <w:rsid w:val="00C557D1"/>
    <w:rsid w:val="00C56938"/>
    <w:rsid w:val="00C5792F"/>
    <w:rsid w:val="00CA06E5"/>
    <w:rsid w:val="00CF7F51"/>
    <w:rsid w:val="00D07A5A"/>
    <w:rsid w:val="00D21149"/>
    <w:rsid w:val="00D61FD9"/>
    <w:rsid w:val="00DB54C9"/>
    <w:rsid w:val="00DC331D"/>
    <w:rsid w:val="00DC752F"/>
    <w:rsid w:val="00DC7D99"/>
    <w:rsid w:val="00DE2502"/>
    <w:rsid w:val="00E57D39"/>
    <w:rsid w:val="00E65218"/>
    <w:rsid w:val="00E73BD1"/>
    <w:rsid w:val="00E77B65"/>
    <w:rsid w:val="00E9363F"/>
    <w:rsid w:val="00E948EA"/>
    <w:rsid w:val="00EB1CB8"/>
    <w:rsid w:val="00EC7FD7"/>
    <w:rsid w:val="00ED2B9E"/>
    <w:rsid w:val="00ED3AA7"/>
    <w:rsid w:val="00ED5E83"/>
    <w:rsid w:val="00F03EDA"/>
    <w:rsid w:val="00F36603"/>
    <w:rsid w:val="00F37CF9"/>
    <w:rsid w:val="00F43081"/>
    <w:rsid w:val="00F54ABE"/>
    <w:rsid w:val="00F874F7"/>
    <w:rsid w:val="00F87C0D"/>
    <w:rsid w:val="00F917D8"/>
    <w:rsid w:val="00F97BEC"/>
    <w:rsid w:val="00FA4AEE"/>
    <w:rsid w:val="00FA59F6"/>
    <w:rsid w:val="00FB0C37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4B802A-A7AB-4E83-812C-8DB00962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E4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3E4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E4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591A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5E83"/>
    <w:rPr>
      <w:color w:val="0000FF"/>
      <w:u w:val="single"/>
    </w:rPr>
  </w:style>
  <w:style w:type="character" w:customStyle="1" w:styleId="sigla">
    <w:name w:val="sigla"/>
    <w:basedOn w:val="Carpredefinitoparagrafo"/>
    <w:rsid w:val="00ED5E83"/>
  </w:style>
  <w:style w:type="character" w:customStyle="1" w:styleId="Titolo1Carattere">
    <w:name w:val="Titolo 1 Carattere"/>
    <w:basedOn w:val="Carpredefinitoparagrafo"/>
    <w:link w:val="Titolo1"/>
    <w:uiPriority w:val="9"/>
    <w:rsid w:val="003E4EF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4E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4E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k-article-meta">
    <w:name w:val="uk-article-meta"/>
    <w:basedOn w:val="Normale"/>
    <w:rsid w:val="003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ore">
    <w:name w:val="autore"/>
    <w:basedOn w:val="Carpredefinitoparagrafo"/>
    <w:rsid w:val="003E4EFF"/>
  </w:style>
  <w:style w:type="paragraph" w:customStyle="1" w:styleId="tags">
    <w:name w:val="tags"/>
    <w:basedOn w:val="Normale"/>
    <w:rsid w:val="003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4EFF"/>
    <w:rPr>
      <w:b/>
      <w:bCs/>
    </w:rPr>
  </w:style>
  <w:style w:type="character" w:styleId="Enfasicorsivo">
    <w:name w:val="Emphasis"/>
    <w:basedOn w:val="Carpredefinitoparagrafo"/>
    <w:uiPriority w:val="20"/>
    <w:qFormat/>
    <w:rsid w:val="003E4EFF"/>
    <w:rPr>
      <w:i/>
      <w:iCs/>
    </w:rPr>
  </w:style>
  <w:style w:type="paragraph" w:customStyle="1" w:styleId="wp-caption-text">
    <w:name w:val="wp-caption-text"/>
    <w:basedOn w:val="Normale"/>
    <w:rsid w:val="003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E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4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5A9"/>
  </w:style>
  <w:style w:type="paragraph" w:styleId="Pidipagina">
    <w:name w:val="footer"/>
    <w:basedOn w:val="Normale"/>
    <w:link w:val="PidipaginaCarattere"/>
    <w:uiPriority w:val="99"/>
    <w:unhideWhenUsed/>
    <w:rsid w:val="00684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5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1D"/>
    <w:rPr>
      <w:rFonts w:ascii="Segoe UI" w:hAnsi="Segoe UI" w:cs="Segoe UI"/>
      <w:sz w:val="18"/>
      <w:szCs w:val="18"/>
    </w:rPr>
  </w:style>
  <w:style w:type="character" w:customStyle="1" w:styleId="font-weight-300">
    <w:name w:val="font-weight-300"/>
    <w:basedOn w:val="Carpredefinitoparagrafo"/>
    <w:rsid w:val="00ED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ustry.itismagazine.it/news/1518/investire-nel-digitale-bene-al-piane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raro@assoservice.bar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assoservice.bar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8B41-4526-45AA-B69A-52263678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15</cp:revision>
  <cp:lastPrinted>2021-02-12T11:35:00Z</cp:lastPrinted>
  <dcterms:created xsi:type="dcterms:W3CDTF">2021-02-12T11:20:00Z</dcterms:created>
  <dcterms:modified xsi:type="dcterms:W3CDTF">2021-02-12T14:05:00Z</dcterms:modified>
</cp:coreProperties>
</file>